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39E7" w14:textId="77777777" w:rsidR="00120D6C" w:rsidRPr="00493461" w:rsidRDefault="00120D6C" w:rsidP="00120D6C">
      <w:pPr>
        <w:spacing w:line="260" w:lineRule="atLeast"/>
        <w:ind w:left="-709"/>
        <w:rPr>
          <w:rFonts w:ascii="Nunito Sans" w:hAnsi="Nunito Sans"/>
          <w:sz w:val="22"/>
          <w:szCs w:val="22"/>
        </w:rPr>
      </w:pPr>
    </w:p>
    <w:p w14:paraId="14012FAF" w14:textId="77777777" w:rsidR="00120D6C" w:rsidRPr="00493461" w:rsidRDefault="00120D6C" w:rsidP="00120D6C">
      <w:pPr>
        <w:spacing w:line="260" w:lineRule="atLeast"/>
        <w:ind w:left="-709"/>
        <w:rPr>
          <w:rFonts w:ascii="Nunito Sans" w:hAnsi="Nunito Sans"/>
          <w:sz w:val="22"/>
          <w:szCs w:val="22"/>
        </w:rPr>
      </w:pPr>
    </w:p>
    <w:p w14:paraId="0C8EFB1C" w14:textId="77777777" w:rsidR="00120D6C" w:rsidRPr="00493461" w:rsidRDefault="00120D6C" w:rsidP="00706DCA">
      <w:pPr>
        <w:spacing w:line="260" w:lineRule="atLeast"/>
        <w:rPr>
          <w:rFonts w:ascii="Nunito Sans" w:hAnsi="Nunito Sans"/>
          <w:sz w:val="22"/>
          <w:szCs w:val="22"/>
        </w:rPr>
      </w:pPr>
    </w:p>
    <w:p w14:paraId="64440CEE" w14:textId="77777777" w:rsidR="005C27B7" w:rsidRPr="00493461" w:rsidRDefault="00EA1A39" w:rsidP="00907D96">
      <w:pPr>
        <w:spacing w:line="260" w:lineRule="atLeast"/>
        <w:ind w:left="-709" w:right="-716"/>
        <w:rPr>
          <w:rFonts w:ascii="Nunito Sans" w:hAnsi="Nunito Sans"/>
          <w:sz w:val="22"/>
          <w:szCs w:val="22"/>
        </w:rPr>
      </w:pPr>
      <w:r w:rsidRPr="00493461">
        <w:rPr>
          <w:rFonts w:ascii="Nunito Sans" w:hAnsi="Nunito Sans"/>
          <w:sz w:val="22"/>
          <w:szCs w:val="22"/>
        </w:rPr>
        <w:t>Education</w:t>
      </w:r>
      <w:r w:rsidR="00120D6C" w:rsidRPr="00493461">
        <w:rPr>
          <w:rFonts w:ascii="Nunito Sans" w:hAnsi="Nunito Sans"/>
          <w:sz w:val="22"/>
          <w:szCs w:val="22"/>
        </w:rPr>
        <w:br/>
      </w:r>
      <w:r w:rsidR="00950F34" w:rsidRPr="00493461">
        <w:rPr>
          <w:rFonts w:ascii="Nunito Sans" w:hAnsi="Nunito Sans"/>
          <w:sz w:val="22"/>
          <w:szCs w:val="22"/>
        </w:rPr>
        <w:t xml:space="preserve">PO </w:t>
      </w:r>
      <w:r w:rsidR="008247D1" w:rsidRPr="00493461">
        <w:rPr>
          <w:rFonts w:ascii="Nunito Sans" w:hAnsi="Nunito Sans"/>
          <w:sz w:val="22"/>
          <w:szCs w:val="22"/>
        </w:rPr>
        <w:t>Box 2703, Whitehorse, Yukon  Y1A 2C6</w:t>
      </w:r>
    </w:p>
    <w:p w14:paraId="063597BE" w14:textId="77777777" w:rsidR="00A962FB" w:rsidRDefault="00A962FB" w:rsidP="00A962FB">
      <w:pPr>
        <w:ind w:left="-567" w:hanging="142"/>
        <w:rPr>
          <w:rFonts w:ascii="Nunito Sans" w:hAnsi="Nunito Sans" w:cs="Arial"/>
          <w:b/>
          <w:sz w:val="20"/>
          <w:szCs w:val="20"/>
        </w:rPr>
      </w:pPr>
    </w:p>
    <w:p w14:paraId="5F90C203" w14:textId="4AFCCC4D" w:rsidR="007E252C" w:rsidRPr="00C428DF" w:rsidRDefault="00D15443" w:rsidP="007E252C">
      <w:pPr>
        <w:spacing w:after="120"/>
        <w:ind w:hanging="709"/>
        <w:rPr>
          <w:rFonts w:ascii="Nunito Sans" w:hAnsi="Nunito Sans"/>
          <w:b/>
          <w:color w:val="000000" w:themeColor="text1"/>
          <w:sz w:val="22"/>
          <w:szCs w:val="22"/>
        </w:rPr>
      </w:pPr>
      <w:r w:rsidRPr="00C428DF">
        <w:rPr>
          <w:rFonts w:ascii="Nunito Sans" w:hAnsi="Nunito Sans"/>
          <w:b/>
          <w:color w:val="000000" w:themeColor="text1"/>
          <w:sz w:val="22"/>
          <w:szCs w:val="22"/>
        </w:rPr>
        <w:t xml:space="preserve">For Teachers:  </w:t>
      </w:r>
      <w:r w:rsidR="004C547B" w:rsidRPr="00C428DF">
        <w:rPr>
          <w:rFonts w:ascii="Nunito Sans" w:hAnsi="Nunito Sans"/>
          <w:b/>
          <w:color w:val="000000" w:themeColor="text1"/>
          <w:sz w:val="22"/>
          <w:szCs w:val="22"/>
        </w:rPr>
        <w:t xml:space="preserve">Yukon Education </w:t>
      </w:r>
      <w:r w:rsidR="0010229B" w:rsidRPr="00C428DF">
        <w:rPr>
          <w:rFonts w:ascii="Nunito Sans" w:hAnsi="Nunito Sans"/>
          <w:b/>
          <w:color w:val="000000" w:themeColor="text1"/>
          <w:sz w:val="22"/>
          <w:szCs w:val="22"/>
        </w:rPr>
        <w:t>Grade Conversion</w:t>
      </w:r>
      <w:r w:rsidR="004C547B" w:rsidRPr="00C428DF">
        <w:rPr>
          <w:rFonts w:ascii="Nunito Sans" w:hAnsi="Nunito Sans"/>
          <w:b/>
          <w:color w:val="000000" w:themeColor="text1"/>
          <w:sz w:val="22"/>
          <w:szCs w:val="22"/>
        </w:rPr>
        <w:t xml:space="preserve"> </w:t>
      </w:r>
      <w:r w:rsidR="00A962FB" w:rsidRPr="00C428DF">
        <w:rPr>
          <w:rFonts w:ascii="Nunito Sans" w:hAnsi="Nunito Sans"/>
          <w:b/>
          <w:color w:val="000000" w:themeColor="text1"/>
          <w:sz w:val="22"/>
          <w:szCs w:val="22"/>
        </w:rPr>
        <w:t>Guide</w:t>
      </w:r>
      <w:r w:rsidR="005D6332">
        <w:rPr>
          <w:rFonts w:ascii="Nunito Sans" w:hAnsi="Nunito Sans"/>
          <w:b/>
          <w:color w:val="000000" w:themeColor="text1"/>
          <w:sz w:val="22"/>
          <w:szCs w:val="22"/>
        </w:rPr>
        <w:t xml:space="preserve">, </w:t>
      </w:r>
      <w:r w:rsidR="00612BE6">
        <w:rPr>
          <w:rFonts w:ascii="Nunito Sans" w:hAnsi="Nunito Sans"/>
          <w:b/>
          <w:color w:val="000000" w:themeColor="text1"/>
          <w:sz w:val="22"/>
          <w:szCs w:val="22"/>
        </w:rPr>
        <w:t>K-</w:t>
      </w:r>
      <w:r w:rsidR="003910AB">
        <w:rPr>
          <w:rFonts w:ascii="Nunito Sans" w:hAnsi="Nunito Sans"/>
          <w:b/>
          <w:color w:val="000000" w:themeColor="text1"/>
          <w:sz w:val="22"/>
          <w:szCs w:val="22"/>
        </w:rPr>
        <w:t>9</w:t>
      </w:r>
    </w:p>
    <w:p w14:paraId="62AB0FBC" w14:textId="06D53B74" w:rsidR="00A962FB" w:rsidRPr="007E252C" w:rsidRDefault="00CA7812" w:rsidP="007E252C">
      <w:pPr>
        <w:spacing w:before="120" w:after="120"/>
        <w:ind w:left="-709" w:right="-953"/>
        <w:contextualSpacing/>
        <w:rPr>
          <w:rFonts w:ascii="Nunito Sans" w:hAnsi="Nunito Sans"/>
          <w:b/>
          <w:color w:val="000000" w:themeColor="text1"/>
          <w:sz w:val="21"/>
          <w:szCs w:val="21"/>
        </w:rPr>
      </w:pPr>
      <w:r w:rsidRPr="007E252C">
        <w:rPr>
          <w:rFonts w:ascii="Nunito Sans" w:hAnsi="Nunito Sans"/>
          <w:color w:val="000000" w:themeColor="text1"/>
          <w:sz w:val="21"/>
          <w:szCs w:val="21"/>
        </w:rPr>
        <w:t>Th</w:t>
      </w:r>
      <w:r w:rsidR="00BC391C" w:rsidRPr="007E252C">
        <w:rPr>
          <w:rFonts w:ascii="Nunito Sans" w:hAnsi="Nunito Sans"/>
          <w:color w:val="000000" w:themeColor="text1"/>
          <w:sz w:val="21"/>
          <w:szCs w:val="21"/>
        </w:rPr>
        <w:t>is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 xml:space="preserve"> guide </w:t>
      </w:r>
      <w:r w:rsidRPr="007E252C">
        <w:rPr>
          <w:rFonts w:ascii="Nunito Sans" w:hAnsi="Nunito Sans"/>
          <w:color w:val="000000" w:themeColor="text1"/>
          <w:sz w:val="21"/>
          <w:szCs w:val="21"/>
        </w:rPr>
        <w:t>will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 xml:space="preserve"> assist with converting standards-based </w:t>
      </w:r>
      <w:r w:rsidR="00612BE6">
        <w:rPr>
          <w:rFonts w:ascii="Nunito Sans" w:hAnsi="Nunito Sans"/>
          <w:color w:val="000000" w:themeColor="text1"/>
          <w:sz w:val="21"/>
          <w:szCs w:val="21"/>
        </w:rPr>
        <w:t>proficiency levels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 xml:space="preserve"> on</w:t>
      </w:r>
      <w:r w:rsidR="00612BE6">
        <w:rPr>
          <w:rFonts w:ascii="Nunito Sans" w:hAnsi="Nunito Sans"/>
          <w:color w:val="000000" w:themeColor="text1"/>
          <w:sz w:val="21"/>
          <w:szCs w:val="21"/>
        </w:rPr>
        <w:t xml:space="preserve"> individual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 xml:space="preserve"> learning standards to a final </w:t>
      </w:r>
      <w:r w:rsidR="00612BE6">
        <w:rPr>
          <w:rFonts w:ascii="Nunito Sans" w:hAnsi="Nunito Sans"/>
          <w:color w:val="000000" w:themeColor="text1"/>
          <w:sz w:val="21"/>
          <w:szCs w:val="21"/>
        </w:rPr>
        <w:t>proficiency level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 xml:space="preserve"> </w:t>
      </w:r>
      <w:r w:rsidR="00A962FB" w:rsidRPr="007E252C">
        <w:rPr>
          <w:rFonts w:ascii="Nunito Sans" w:hAnsi="Nunito Sans"/>
          <w:b/>
          <w:color w:val="000000" w:themeColor="text1"/>
          <w:sz w:val="21"/>
          <w:szCs w:val="21"/>
        </w:rPr>
        <w:t xml:space="preserve">for a </w:t>
      </w:r>
      <w:r w:rsidR="00612BE6">
        <w:rPr>
          <w:rFonts w:ascii="Nunito Sans" w:hAnsi="Nunito Sans"/>
          <w:b/>
          <w:color w:val="000000" w:themeColor="text1"/>
          <w:sz w:val="21"/>
          <w:szCs w:val="21"/>
        </w:rPr>
        <w:t>subject area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>.</w:t>
      </w:r>
      <w:r w:rsidR="004B247D" w:rsidRPr="007E252C">
        <w:rPr>
          <w:rFonts w:ascii="Nunito Sans" w:hAnsi="Nunito Sans"/>
          <w:color w:val="000000" w:themeColor="text1"/>
          <w:sz w:val="21"/>
          <w:szCs w:val="21"/>
        </w:rPr>
        <w:t xml:space="preserve">  </w:t>
      </w:r>
      <w:r w:rsidR="004B247D" w:rsidRPr="007E252C">
        <w:rPr>
          <w:rFonts w:ascii="Nunito Sans" w:hAnsi="Nunito Sans"/>
          <w:sz w:val="21"/>
          <w:szCs w:val="21"/>
        </w:rPr>
        <w:t xml:space="preserve">It 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>uses a four-point</w:t>
      </w:r>
      <w:r w:rsidR="00F9590B">
        <w:rPr>
          <w:rFonts w:ascii="Nunito Sans" w:hAnsi="Nunito Sans"/>
          <w:b/>
          <w:color w:val="000000" w:themeColor="text1"/>
          <w:sz w:val="21"/>
          <w:szCs w:val="21"/>
          <w:vertAlign w:val="superscript"/>
        </w:rPr>
        <w:t xml:space="preserve"> 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>standards-based grading system, a student’s more recent evidence</w:t>
      </w:r>
      <w:r w:rsidR="00F9590B">
        <w:rPr>
          <w:rFonts w:ascii="Nunito Sans" w:hAnsi="Nunito Sans"/>
          <w:b/>
          <w:color w:val="000000" w:themeColor="text1"/>
          <w:sz w:val="21"/>
          <w:szCs w:val="21"/>
          <w:vertAlign w:val="superscript"/>
        </w:rPr>
        <w:t>1</w:t>
      </w:r>
      <w:r w:rsidR="00A962FB" w:rsidRPr="007E252C">
        <w:rPr>
          <w:rFonts w:ascii="Nunito Sans" w:hAnsi="Nunito Sans"/>
          <w:color w:val="000000" w:themeColor="text1"/>
          <w:sz w:val="21"/>
          <w:szCs w:val="21"/>
        </w:rPr>
        <w:t>, and the logic rule</w:t>
      </w:r>
      <w:r w:rsidR="00F9590B">
        <w:rPr>
          <w:rFonts w:ascii="Nunito Sans" w:hAnsi="Nunito Sans"/>
          <w:color w:val="000000" w:themeColor="text1"/>
          <w:sz w:val="21"/>
          <w:szCs w:val="21"/>
          <w:vertAlign w:val="superscript"/>
        </w:rPr>
        <w:t>2</w:t>
      </w:r>
      <w:r w:rsidR="00277D72" w:rsidRPr="007E252C">
        <w:rPr>
          <w:rFonts w:ascii="Nunito Sans" w:hAnsi="Nunito Sans"/>
          <w:color w:val="000000" w:themeColor="text1"/>
          <w:sz w:val="21"/>
          <w:szCs w:val="21"/>
        </w:rPr>
        <w:t xml:space="preserve"> </w:t>
      </w:r>
      <w:r w:rsidR="00A962FB" w:rsidRPr="007E252C">
        <w:rPr>
          <w:rFonts w:ascii="Nunito Sans" w:hAnsi="Nunito Sans"/>
          <w:sz w:val="21"/>
          <w:szCs w:val="21"/>
        </w:rPr>
        <w:t>below.</w:t>
      </w:r>
      <w:r w:rsidR="004B247D" w:rsidRPr="007E252C">
        <w:rPr>
          <w:rFonts w:ascii="Nunito Sans" w:hAnsi="Nunito Sans"/>
          <w:sz w:val="21"/>
          <w:szCs w:val="21"/>
        </w:rPr>
        <w:t xml:space="preserve">  </w:t>
      </w:r>
      <w:r w:rsidR="004B247D" w:rsidRPr="007E252C">
        <w:rPr>
          <w:rFonts w:ascii="Nunito Sans" w:hAnsi="Nunito Sans"/>
          <w:b/>
          <w:sz w:val="21"/>
          <w:szCs w:val="21"/>
        </w:rPr>
        <w:t>The process is meant to be led by teacher professional judgement</w:t>
      </w:r>
      <w:r w:rsidR="004B247D" w:rsidRPr="007E252C">
        <w:rPr>
          <w:rFonts w:ascii="Nunito Sans" w:hAnsi="Nunito Sans"/>
          <w:sz w:val="21"/>
          <w:szCs w:val="21"/>
        </w:rPr>
        <w:t>.</w:t>
      </w:r>
    </w:p>
    <w:tbl>
      <w:tblPr>
        <w:tblStyle w:val="TableGrid"/>
        <w:tblpPr w:leftFromText="180" w:rightFromText="180" w:vertAnchor="page" w:horzAnchor="margin" w:tblpXSpec="center" w:tblpY="4278"/>
        <w:tblW w:w="10520" w:type="dxa"/>
        <w:tblLayout w:type="fixed"/>
        <w:tblLook w:val="04A0" w:firstRow="1" w:lastRow="0" w:firstColumn="1" w:lastColumn="0" w:noHBand="0" w:noVBand="1"/>
      </w:tblPr>
      <w:tblGrid>
        <w:gridCol w:w="4390"/>
        <w:gridCol w:w="3578"/>
        <w:gridCol w:w="1276"/>
        <w:gridCol w:w="1276"/>
      </w:tblGrid>
      <w:tr w:rsidR="001C2F44" w:rsidRPr="009A61CA" w14:paraId="64015DB5" w14:textId="77777777" w:rsidTr="001C2F44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3BC19C76" w14:textId="751C1C02" w:rsidR="001C2F44" w:rsidRPr="0073709D" w:rsidRDefault="001C2F44" w:rsidP="001C2F44">
            <w:pPr>
              <w:pStyle w:val="Heading1"/>
              <w:spacing w:before="0"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Proficiency Scale</w:t>
            </w:r>
          </w:p>
        </w:tc>
        <w:tc>
          <w:tcPr>
            <w:tcW w:w="3578" w:type="dxa"/>
            <w:tcBorders>
              <w:top w:val="single" w:sz="4" w:space="0" w:color="auto"/>
            </w:tcBorders>
            <w:vAlign w:val="center"/>
          </w:tcPr>
          <w:p w14:paraId="0D9C26A0" w14:textId="35FF88CF" w:rsidR="001C2F44" w:rsidRPr="0073709D" w:rsidRDefault="001C2F44" w:rsidP="001C2F44">
            <w:pPr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Logic Rule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4E80F6" w14:textId="77777777" w:rsidR="001C2F44" w:rsidRPr="0073709D" w:rsidRDefault="001C2F44" w:rsidP="001C2F44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Yukon</w:t>
            </w:r>
          </w:p>
          <w:p w14:paraId="38B4FEB3" w14:textId="67B62C57" w:rsidR="001C2F44" w:rsidRPr="0073709D" w:rsidRDefault="001C2F44" w:rsidP="001C2F44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Letter 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826DBD" w14:textId="7C969A93" w:rsidR="001C2F44" w:rsidRPr="0073709D" w:rsidRDefault="001C2F44" w:rsidP="001C2F44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Percentage Grade</w:t>
            </w:r>
          </w:p>
          <w:p w14:paraId="38B8CC8B" w14:textId="77777777" w:rsidR="001C2F44" w:rsidRPr="0073709D" w:rsidRDefault="001C2F44" w:rsidP="001C2F44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Range</w:t>
            </w:r>
          </w:p>
        </w:tc>
      </w:tr>
      <w:tr w:rsidR="001C2F44" w:rsidRPr="009A61CA" w14:paraId="1D66C642" w14:textId="77777777" w:rsidTr="001C2F44">
        <w:trPr>
          <w:trHeight w:val="509"/>
        </w:trPr>
        <w:tc>
          <w:tcPr>
            <w:tcW w:w="4390" w:type="dxa"/>
            <w:vMerge w:val="restart"/>
            <w:shd w:val="clear" w:color="auto" w:fill="F2F2F2" w:themeFill="background1" w:themeFillShade="F2"/>
            <w:vAlign w:val="center"/>
          </w:tcPr>
          <w:p w14:paraId="2374E044" w14:textId="15E6D0DA" w:rsidR="001C2F44" w:rsidRPr="0073709D" w:rsidRDefault="001C2F44" w:rsidP="001C2F44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Extending</w:t>
            </w:r>
            <w:r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 xml:space="preserve"> (EX)</w:t>
            </w:r>
          </w:p>
          <w:p w14:paraId="55CC5FAD" w14:textId="5ECBD315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The  student demonstrates a sophisticated understanding of the concepts and competencies relevant to the expected learning.</w:t>
            </w: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1C7F5AEC" w14:textId="79FE51EF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All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EX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48FF703" w14:textId="6DF3A05D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CCFD8DD" w14:textId="129BF844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86-100</w:t>
            </w:r>
          </w:p>
        </w:tc>
      </w:tr>
      <w:tr w:rsidR="001C2F44" w:rsidRPr="009A61CA" w14:paraId="04FC3F18" w14:textId="77777777" w:rsidTr="001C2F44">
        <w:trPr>
          <w:trHeight w:val="509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0AD0896D" w14:textId="7777777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34DDF4" w14:textId="0F4EEF7E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Almost all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EX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and the occasional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B66F88A" w14:textId="75007C49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033E528" w14:textId="2203EB4F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36DD6884" w14:textId="77777777" w:rsidTr="001C2F44">
        <w:trPr>
          <w:trHeight w:val="509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5C0D230F" w14:textId="7777777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F06CEC7" w14:textId="55EB1EE6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EX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, some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BBDA5CA" w14:textId="3E764ACC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3379F21" w14:textId="08597A83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7FD2EABA" w14:textId="77777777" w:rsidTr="001C2F44">
        <w:trPr>
          <w:trHeight w:val="501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66FF6EA9" w14:textId="228EF713" w:rsidR="001C2F44" w:rsidRPr="0073709D" w:rsidRDefault="001C2F44" w:rsidP="001C2F44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Proficient (</w:t>
            </w:r>
            <w:r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</w:t>
            </w: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)</w:t>
            </w:r>
          </w:p>
          <w:p w14:paraId="70453A02" w14:textId="48E3FA78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The student demonstrates a complete understanding of the concepts and competencies relevant to the expected learning.</w:t>
            </w: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2ACF5F28" w14:textId="2DA145F9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P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, some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EX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A163E28" w14:textId="047F5301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08241E4" w14:textId="658E2B0B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73-85</w:t>
            </w:r>
          </w:p>
          <w:p w14:paraId="5026C927" w14:textId="77777777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0C30B65C" w14:textId="77777777" w:rsidTr="001C2F44">
        <w:trPr>
          <w:trHeight w:val="50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5983D3E9" w14:textId="7777777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316572AE" w14:textId="5A63B549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Almost all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P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and the occasional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EX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499A731" w14:textId="780530D9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BED394E" w14:textId="625B535B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0D275529" w14:textId="77777777" w:rsidTr="001C2F44">
        <w:trPr>
          <w:trHeight w:val="501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43D09DD2" w14:textId="7777777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3543562F" w14:textId="46425DF2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P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, one/two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D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and no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EM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B2B3DA5" w14:textId="1BE6B6E2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34E1B31" w14:textId="75AFFA89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267AB0DA" w14:textId="77777777" w:rsidTr="001C2F44">
        <w:trPr>
          <w:trHeight w:val="498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14:paraId="38FAB89F" w14:textId="38A808F1" w:rsidR="001C2F44" w:rsidRPr="0073709D" w:rsidRDefault="001C2F44" w:rsidP="001C2F44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Developing (</w:t>
            </w:r>
            <w:r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D</w:t>
            </w: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)</w:t>
            </w:r>
          </w:p>
          <w:p w14:paraId="0589847B" w14:textId="322B31C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The student demonstrates a partial understanding of the concepts and competencies relevant to the expected learning.</w:t>
            </w:r>
          </w:p>
        </w:tc>
        <w:tc>
          <w:tcPr>
            <w:tcW w:w="3578" w:type="dxa"/>
            <w:shd w:val="clear" w:color="auto" w:fill="BFBFBF" w:themeFill="background1" w:themeFillShade="BF"/>
            <w:vAlign w:val="center"/>
          </w:tcPr>
          <w:p w14:paraId="07AC1890" w14:textId="11338902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A mix of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D 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P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, mostly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1C8BA7" w14:textId="75B69B0F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C+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036F06D" w14:textId="44E8E817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50-72</w:t>
            </w:r>
          </w:p>
        </w:tc>
      </w:tr>
      <w:tr w:rsidR="001C2F44" w:rsidRPr="009A61CA" w14:paraId="041419DA" w14:textId="77777777" w:rsidTr="001C2F44">
        <w:trPr>
          <w:trHeight w:val="498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4BDF5BDC" w14:textId="7777777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BFBFBF" w:themeFill="background1" w:themeFillShade="BF"/>
            <w:vAlign w:val="center"/>
          </w:tcPr>
          <w:p w14:paraId="52D3D765" w14:textId="4910FD32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D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, no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A0AA98" w14:textId="79678881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C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23FB1AAE" w14:textId="00266295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23ADE9B5" w14:textId="77777777" w:rsidTr="001C2F44">
        <w:trPr>
          <w:trHeight w:val="498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14:paraId="1230721A" w14:textId="77777777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BFBFBF" w:themeFill="background1" w:themeFillShade="BF"/>
            <w:vAlign w:val="center"/>
          </w:tcPr>
          <w:p w14:paraId="679601DF" w14:textId="32D54B85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D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, some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EM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E98FD7" w14:textId="13ECB906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C-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00D2AB39" w14:textId="3DBD7977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</w:tr>
      <w:tr w:rsidR="001C2F44" w:rsidRPr="009A61CA" w14:paraId="359CA0CB" w14:textId="77777777" w:rsidTr="001C2F44">
        <w:trPr>
          <w:trHeight w:val="1489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EB8CFC" w14:textId="789C0E8B" w:rsidR="001C2F44" w:rsidRPr="0073709D" w:rsidRDefault="001C2F44" w:rsidP="001C2F44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Emerging (</w:t>
            </w:r>
            <w:r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EM</w:t>
            </w: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)</w:t>
            </w:r>
          </w:p>
          <w:p w14:paraId="248C7D49" w14:textId="6C0A0BC8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  <w:lang w:val="en-CA"/>
              </w:rPr>
              <w:t>The student demonstrates an initial understanding of the concepts and competencies relevant to the expected learning.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AF15EA" w14:textId="03EE6D86" w:rsidR="001C2F44" w:rsidRPr="0073709D" w:rsidRDefault="001C2F44" w:rsidP="001C2F44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EM</w:t>
            </w: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, and the occasional </w:t>
            </w:r>
            <w:r>
              <w:rPr>
                <w:rFonts w:ascii="Nunito Sans" w:hAnsi="Nunito Sans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1FA87" w14:textId="0513A5E1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E874EC" w14:textId="233FFB22" w:rsidR="001C2F44" w:rsidRPr="0073709D" w:rsidRDefault="001C2F44" w:rsidP="001C2F44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40-49</w:t>
            </w:r>
          </w:p>
        </w:tc>
      </w:tr>
    </w:tbl>
    <w:p w14:paraId="1BCB7DDC" w14:textId="77777777" w:rsidR="004F19FF" w:rsidRDefault="004F19FF" w:rsidP="00D16B58">
      <w:pPr>
        <w:rPr>
          <w:rFonts w:ascii="Nunito Sans" w:hAnsi="Nunito Sans"/>
          <w:b/>
          <w:sz w:val="20"/>
          <w:szCs w:val="20"/>
        </w:rPr>
      </w:pPr>
    </w:p>
    <w:p w14:paraId="4B45C0D3" w14:textId="6DA37F8B" w:rsidR="005E26A3" w:rsidRDefault="005E26A3" w:rsidP="005E26A3">
      <w:pPr>
        <w:spacing w:before="120"/>
        <w:ind w:left="-709" w:right="-527"/>
        <w:rPr>
          <w:rFonts w:ascii="Nunito Sans" w:hAnsi="Nunito Sans"/>
          <w:sz w:val="21"/>
          <w:szCs w:val="21"/>
        </w:rPr>
      </w:pPr>
      <w:r>
        <w:rPr>
          <w:rFonts w:ascii="Nunito Sans" w:hAnsi="Nunito Sans" w:cs="Times New Roman"/>
          <w:sz w:val="21"/>
          <w:szCs w:val="21"/>
        </w:rPr>
        <w:t>W</w:t>
      </w:r>
      <w:r w:rsidRPr="0061428A">
        <w:rPr>
          <w:rFonts w:ascii="Nunito Sans" w:hAnsi="Nunito Sans" w:cs="Times New Roman"/>
          <w:sz w:val="21"/>
          <w:szCs w:val="21"/>
        </w:rPr>
        <w:t xml:space="preserve">here there is insufficient evidence available to determine a proficiency level, </w:t>
      </w:r>
      <w:r w:rsidRPr="0061428A">
        <w:rPr>
          <w:rFonts w:ascii="Nunito Sans" w:hAnsi="Nunito Sans" w:cs="Times New Roman"/>
          <w:color w:val="000000"/>
          <w:sz w:val="21"/>
          <w:szCs w:val="21"/>
        </w:rPr>
        <w:t xml:space="preserve">teachers may use their professional judgement to determine if the use of “I” is appropriate and in the best interests of the student.  </w:t>
      </w:r>
      <w:r>
        <w:rPr>
          <w:rFonts w:ascii="Nunito Sans" w:hAnsi="Nunito Sans" w:cs="Times New Roman"/>
          <w:color w:val="000000"/>
          <w:sz w:val="21"/>
          <w:szCs w:val="21"/>
        </w:rPr>
        <w:t>Comments must clearly communicate</w:t>
      </w:r>
      <w:r w:rsidRPr="0061428A">
        <w:rPr>
          <w:rFonts w:ascii="Nunito Sans" w:hAnsi="Nunito Sans" w:cs="Times New Roman"/>
          <w:color w:val="000000"/>
          <w:sz w:val="21"/>
          <w:szCs w:val="21"/>
        </w:rPr>
        <w:t xml:space="preserve"> whether the “I” is because the student has shown no evidence of understanding in their submitted work or has not submitted evidenc</w:t>
      </w:r>
      <w:r>
        <w:rPr>
          <w:rFonts w:ascii="Nunito Sans" w:hAnsi="Nunito Sans" w:cs="Times New Roman"/>
          <w:color w:val="000000"/>
          <w:sz w:val="21"/>
          <w:szCs w:val="21"/>
        </w:rPr>
        <w:t xml:space="preserve">e.  </w:t>
      </w:r>
    </w:p>
    <w:p w14:paraId="3460FBBF" w14:textId="77777777" w:rsidR="005E26A3" w:rsidRPr="007E252C" w:rsidRDefault="005E26A3" w:rsidP="005E26A3">
      <w:pPr>
        <w:spacing w:before="120"/>
        <w:ind w:left="-709" w:right="-527"/>
        <w:rPr>
          <w:rFonts w:ascii="Nunito Sans" w:hAnsi="Nunito Sans"/>
          <w:b/>
          <w:sz w:val="21"/>
          <w:szCs w:val="21"/>
        </w:rPr>
      </w:pPr>
    </w:p>
    <w:p w14:paraId="14CFAB76" w14:textId="6D82CC74" w:rsidR="004F19FF" w:rsidRPr="007E252C" w:rsidRDefault="00F9590B" w:rsidP="00AD726C">
      <w:pPr>
        <w:spacing w:after="120"/>
        <w:ind w:left="-709" w:right="-529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b/>
          <w:sz w:val="21"/>
          <w:szCs w:val="21"/>
        </w:rPr>
        <w:t>1</w:t>
      </w:r>
      <w:r w:rsidR="00CA7812" w:rsidRPr="007E252C">
        <w:rPr>
          <w:rFonts w:ascii="Nunito Sans" w:hAnsi="Nunito Sans"/>
          <w:b/>
          <w:sz w:val="21"/>
          <w:szCs w:val="21"/>
        </w:rPr>
        <w:t xml:space="preserve">  More recent evidence:</w:t>
      </w:r>
      <w:r w:rsidR="00CA7812" w:rsidRPr="007E252C">
        <w:rPr>
          <w:rFonts w:ascii="Nunito Sans" w:hAnsi="Nunito Sans"/>
          <w:sz w:val="21"/>
          <w:szCs w:val="21"/>
        </w:rPr>
        <w:t xml:space="preserve">  Only a student’s more recent evidence of achievement of learning standard</w:t>
      </w:r>
      <w:r w:rsidR="006D6919" w:rsidRPr="007E252C">
        <w:rPr>
          <w:rFonts w:ascii="Nunito Sans" w:hAnsi="Nunito Sans"/>
          <w:sz w:val="21"/>
          <w:szCs w:val="21"/>
        </w:rPr>
        <w:t>s</w:t>
      </w:r>
      <w:r w:rsidR="004F19FF" w:rsidRPr="007E252C">
        <w:rPr>
          <w:rFonts w:ascii="Nunito Sans" w:hAnsi="Nunito Sans"/>
          <w:sz w:val="21"/>
          <w:szCs w:val="21"/>
        </w:rPr>
        <w:t xml:space="preserve"> </w:t>
      </w:r>
      <w:r w:rsidR="00CA7812" w:rsidRPr="007E252C">
        <w:rPr>
          <w:rFonts w:ascii="Nunito Sans" w:hAnsi="Nunito Sans"/>
          <w:sz w:val="21"/>
          <w:szCs w:val="21"/>
        </w:rPr>
        <w:t>should be considered in grading.</w:t>
      </w:r>
    </w:p>
    <w:p w14:paraId="65475DFB" w14:textId="1A298BA2" w:rsidR="00033151" w:rsidRDefault="00F9590B" w:rsidP="00612BE6">
      <w:pPr>
        <w:spacing w:after="120"/>
        <w:ind w:left="-709" w:right="-529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b/>
          <w:sz w:val="21"/>
          <w:szCs w:val="21"/>
        </w:rPr>
        <w:t>2</w:t>
      </w:r>
      <w:r w:rsidR="00CA7812" w:rsidRPr="007E252C">
        <w:rPr>
          <w:rFonts w:ascii="Nunito Sans" w:hAnsi="Nunito Sans"/>
          <w:b/>
          <w:sz w:val="21"/>
          <w:szCs w:val="21"/>
        </w:rPr>
        <w:t xml:space="preserve">  Logic </w:t>
      </w:r>
      <w:r w:rsidR="00AD7853" w:rsidRPr="007E252C">
        <w:rPr>
          <w:rFonts w:ascii="Nunito Sans" w:hAnsi="Nunito Sans"/>
          <w:b/>
          <w:sz w:val="21"/>
          <w:szCs w:val="21"/>
        </w:rPr>
        <w:t>R</w:t>
      </w:r>
      <w:r w:rsidR="00CA7812" w:rsidRPr="007E252C">
        <w:rPr>
          <w:rFonts w:ascii="Nunito Sans" w:hAnsi="Nunito Sans"/>
          <w:b/>
          <w:sz w:val="21"/>
          <w:szCs w:val="21"/>
        </w:rPr>
        <w:t>ule:</w:t>
      </w:r>
      <w:r w:rsidR="00CA7812" w:rsidRPr="007E252C">
        <w:rPr>
          <w:rFonts w:ascii="Nunito Sans" w:hAnsi="Nunito Sans"/>
          <w:sz w:val="21"/>
          <w:szCs w:val="21"/>
        </w:rPr>
        <w:t xml:space="preserve">  A series of statements that describe how grades for </w:t>
      </w:r>
      <w:r w:rsidR="006D6919" w:rsidRPr="007E252C">
        <w:rPr>
          <w:rFonts w:ascii="Nunito Sans" w:hAnsi="Nunito Sans"/>
          <w:sz w:val="21"/>
          <w:szCs w:val="21"/>
        </w:rPr>
        <w:t xml:space="preserve">learning </w:t>
      </w:r>
      <w:r w:rsidR="00CA7812" w:rsidRPr="007E252C">
        <w:rPr>
          <w:rFonts w:ascii="Nunito Sans" w:hAnsi="Nunito Sans"/>
          <w:sz w:val="21"/>
          <w:szCs w:val="21"/>
        </w:rPr>
        <w:t>standards will be converted into</w:t>
      </w:r>
      <w:r w:rsidR="006D6919" w:rsidRPr="007E252C">
        <w:rPr>
          <w:rFonts w:ascii="Nunito Sans" w:hAnsi="Nunito Sans"/>
          <w:sz w:val="21"/>
          <w:szCs w:val="21"/>
        </w:rPr>
        <w:t xml:space="preserve"> a</w:t>
      </w:r>
      <w:r w:rsidR="00CA7812" w:rsidRPr="007E252C">
        <w:rPr>
          <w:rFonts w:ascii="Nunito Sans" w:hAnsi="Nunito Sans"/>
          <w:sz w:val="21"/>
          <w:szCs w:val="21"/>
        </w:rPr>
        <w:t xml:space="preserve"> </w:t>
      </w:r>
      <w:r w:rsidR="006D6919" w:rsidRPr="007E252C">
        <w:rPr>
          <w:rFonts w:ascii="Nunito Sans" w:hAnsi="Nunito Sans"/>
          <w:sz w:val="21"/>
          <w:szCs w:val="21"/>
        </w:rPr>
        <w:t>final grade for a course</w:t>
      </w:r>
      <w:r w:rsidR="00CA7812" w:rsidRPr="007E252C">
        <w:rPr>
          <w:rFonts w:ascii="Nunito Sans" w:hAnsi="Nunito Sans"/>
          <w:sz w:val="21"/>
          <w:szCs w:val="21"/>
        </w:rPr>
        <w:t>. (</w:t>
      </w:r>
      <w:r w:rsidR="00A72C13" w:rsidRPr="007E252C">
        <w:rPr>
          <w:rFonts w:ascii="Nunito Sans" w:hAnsi="Nunito Sans"/>
          <w:sz w:val="21"/>
          <w:szCs w:val="21"/>
        </w:rPr>
        <w:t>adapted with permission</w:t>
      </w:r>
      <w:r w:rsidR="0030335F">
        <w:rPr>
          <w:rFonts w:ascii="Nunito Sans" w:hAnsi="Nunito Sans"/>
          <w:sz w:val="21"/>
          <w:szCs w:val="21"/>
        </w:rPr>
        <w:t xml:space="preserve"> and guidance</w:t>
      </w:r>
      <w:r w:rsidR="00A72C13" w:rsidRPr="007E252C">
        <w:rPr>
          <w:rFonts w:ascii="Nunito Sans" w:hAnsi="Nunito Sans"/>
          <w:sz w:val="21"/>
          <w:szCs w:val="21"/>
        </w:rPr>
        <w:t xml:space="preserve"> from </w:t>
      </w:r>
      <w:r w:rsidR="00CA7812" w:rsidRPr="007E252C">
        <w:rPr>
          <w:rFonts w:ascii="Nunito Sans" w:hAnsi="Nunito Sans"/>
          <w:i/>
          <w:sz w:val="21"/>
          <w:szCs w:val="21"/>
        </w:rPr>
        <w:t>Ken O’Connor, How to Grade for Learning, Fourth Edition, 2018</w:t>
      </w:r>
      <w:r w:rsidR="00CA7812" w:rsidRPr="007E252C">
        <w:rPr>
          <w:rFonts w:ascii="Nunito Sans" w:hAnsi="Nunito Sans"/>
          <w:sz w:val="21"/>
          <w:szCs w:val="21"/>
        </w:rPr>
        <w:t xml:space="preserve">) </w:t>
      </w:r>
    </w:p>
    <w:p w14:paraId="63D24FCB" w14:textId="77777777" w:rsidR="004615AE" w:rsidRPr="00493461" w:rsidRDefault="004615AE" w:rsidP="004615AE">
      <w:pPr>
        <w:spacing w:line="260" w:lineRule="atLeast"/>
        <w:ind w:left="-709" w:right="-716"/>
        <w:rPr>
          <w:rFonts w:ascii="Nunito Sans" w:hAnsi="Nunito Sans"/>
          <w:sz w:val="22"/>
          <w:szCs w:val="22"/>
        </w:rPr>
      </w:pPr>
      <w:r w:rsidRPr="00493461">
        <w:rPr>
          <w:rFonts w:ascii="Nunito Sans" w:hAnsi="Nunito Sans"/>
          <w:sz w:val="22"/>
          <w:szCs w:val="22"/>
        </w:rPr>
        <w:lastRenderedPageBreak/>
        <w:t>Education</w:t>
      </w:r>
      <w:r w:rsidRPr="00493461">
        <w:rPr>
          <w:rFonts w:ascii="Nunito Sans" w:hAnsi="Nunito Sans"/>
          <w:sz w:val="22"/>
          <w:szCs w:val="22"/>
        </w:rPr>
        <w:br/>
        <w:t xml:space="preserve">PO Box 2703, Whitehorse, </w:t>
      </w:r>
      <w:proofErr w:type="gramStart"/>
      <w:r w:rsidRPr="00493461">
        <w:rPr>
          <w:rFonts w:ascii="Nunito Sans" w:hAnsi="Nunito Sans"/>
          <w:sz w:val="22"/>
          <w:szCs w:val="22"/>
        </w:rPr>
        <w:t>Yukon  Y</w:t>
      </w:r>
      <w:proofErr w:type="gramEnd"/>
      <w:r w:rsidRPr="00493461">
        <w:rPr>
          <w:rFonts w:ascii="Nunito Sans" w:hAnsi="Nunito Sans"/>
          <w:sz w:val="22"/>
          <w:szCs w:val="22"/>
        </w:rPr>
        <w:t>1A 2C6</w:t>
      </w:r>
    </w:p>
    <w:p w14:paraId="164C0374" w14:textId="77777777" w:rsidR="004615AE" w:rsidRDefault="004615AE" w:rsidP="004615AE">
      <w:pPr>
        <w:ind w:left="-567" w:hanging="142"/>
        <w:rPr>
          <w:rFonts w:ascii="Nunito Sans" w:hAnsi="Nunito Sans" w:cs="Arial"/>
          <w:b/>
          <w:sz w:val="20"/>
          <w:szCs w:val="20"/>
        </w:rPr>
      </w:pPr>
    </w:p>
    <w:p w14:paraId="7D2D3169" w14:textId="77777777" w:rsidR="004615AE" w:rsidRPr="00C428DF" w:rsidRDefault="004615AE" w:rsidP="004615AE">
      <w:pPr>
        <w:spacing w:after="120"/>
        <w:ind w:hanging="709"/>
        <w:rPr>
          <w:rFonts w:ascii="Nunito Sans" w:hAnsi="Nunito Sans"/>
          <w:b/>
          <w:color w:val="000000" w:themeColor="text1"/>
          <w:sz w:val="22"/>
          <w:szCs w:val="22"/>
        </w:rPr>
      </w:pPr>
      <w:r w:rsidRPr="00C428DF">
        <w:rPr>
          <w:rFonts w:ascii="Nunito Sans" w:hAnsi="Nunito Sans"/>
          <w:b/>
          <w:color w:val="000000" w:themeColor="text1"/>
          <w:sz w:val="22"/>
          <w:szCs w:val="22"/>
        </w:rPr>
        <w:t>For Teachers:  Yukon Education Grade Conversion Guide</w:t>
      </w:r>
      <w:r>
        <w:rPr>
          <w:rFonts w:ascii="Nunito Sans" w:hAnsi="Nunito Sans"/>
          <w:b/>
          <w:color w:val="000000" w:themeColor="text1"/>
          <w:sz w:val="22"/>
          <w:szCs w:val="22"/>
        </w:rPr>
        <w:t>, Grades 10-12</w:t>
      </w:r>
    </w:p>
    <w:p w14:paraId="49CD72CB" w14:textId="77777777" w:rsidR="004615AE" w:rsidRPr="007E252C" w:rsidRDefault="004615AE" w:rsidP="004615AE">
      <w:pPr>
        <w:spacing w:before="120" w:after="120"/>
        <w:ind w:left="-709" w:right="-953"/>
        <w:contextualSpacing/>
        <w:rPr>
          <w:rFonts w:ascii="Nunito Sans" w:hAnsi="Nunito Sans"/>
          <w:b/>
          <w:color w:val="000000" w:themeColor="text1"/>
          <w:sz w:val="21"/>
          <w:szCs w:val="21"/>
        </w:rPr>
      </w:pPr>
      <w:r w:rsidRPr="007E252C">
        <w:rPr>
          <w:rFonts w:ascii="Nunito Sans" w:hAnsi="Nunito Sans"/>
          <w:color w:val="000000" w:themeColor="text1"/>
          <w:sz w:val="21"/>
          <w:szCs w:val="21"/>
        </w:rPr>
        <w:t xml:space="preserve">This guide will assist with converting standards-based grades on learning standards to a final percentage grade </w:t>
      </w:r>
      <w:r w:rsidRPr="007E252C">
        <w:rPr>
          <w:rFonts w:ascii="Nunito Sans" w:hAnsi="Nunito Sans"/>
          <w:b/>
          <w:color w:val="000000" w:themeColor="text1"/>
          <w:sz w:val="21"/>
          <w:szCs w:val="21"/>
        </w:rPr>
        <w:t>for a course</w:t>
      </w:r>
      <w:r w:rsidRPr="007E252C">
        <w:rPr>
          <w:rFonts w:ascii="Nunito Sans" w:hAnsi="Nunito Sans"/>
          <w:color w:val="000000" w:themeColor="text1"/>
          <w:sz w:val="21"/>
          <w:szCs w:val="21"/>
        </w:rPr>
        <w:t xml:space="preserve">.  </w:t>
      </w:r>
      <w:r w:rsidRPr="007E252C">
        <w:rPr>
          <w:rFonts w:ascii="Nunito Sans" w:hAnsi="Nunito Sans"/>
          <w:sz w:val="21"/>
          <w:szCs w:val="21"/>
        </w:rPr>
        <w:t xml:space="preserve">It </w:t>
      </w:r>
      <w:r w:rsidRPr="007E252C">
        <w:rPr>
          <w:rFonts w:ascii="Nunito Sans" w:hAnsi="Nunito Sans"/>
          <w:color w:val="000000" w:themeColor="text1"/>
          <w:sz w:val="21"/>
          <w:szCs w:val="21"/>
        </w:rPr>
        <w:t xml:space="preserve">uses </w:t>
      </w:r>
      <w:proofErr w:type="gramStart"/>
      <w:r w:rsidRPr="007E252C">
        <w:rPr>
          <w:rFonts w:ascii="Nunito Sans" w:hAnsi="Nunito Sans"/>
          <w:color w:val="000000" w:themeColor="text1"/>
          <w:sz w:val="21"/>
          <w:szCs w:val="21"/>
        </w:rPr>
        <w:t>a four-point</w:t>
      </w:r>
      <w:r>
        <w:rPr>
          <w:rFonts w:ascii="Nunito Sans" w:hAnsi="Nunito Sans"/>
          <w:b/>
          <w:color w:val="000000" w:themeColor="text1"/>
          <w:sz w:val="21"/>
          <w:szCs w:val="21"/>
          <w:vertAlign w:val="superscript"/>
        </w:rPr>
        <w:t xml:space="preserve"> </w:t>
      </w:r>
      <w:r w:rsidRPr="007E252C">
        <w:rPr>
          <w:rFonts w:ascii="Nunito Sans" w:hAnsi="Nunito Sans"/>
          <w:color w:val="000000" w:themeColor="text1"/>
          <w:sz w:val="21"/>
          <w:szCs w:val="21"/>
        </w:rPr>
        <w:t>standards</w:t>
      </w:r>
      <w:proofErr w:type="gramEnd"/>
      <w:r w:rsidRPr="007E252C">
        <w:rPr>
          <w:rFonts w:ascii="Nunito Sans" w:hAnsi="Nunito Sans"/>
          <w:color w:val="000000" w:themeColor="text1"/>
          <w:sz w:val="21"/>
          <w:szCs w:val="21"/>
        </w:rPr>
        <w:t>-based grading system, a student’s more recent evidence</w:t>
      </w:r>
      <w:r>
        <w:rPr>
          <w:rFonts w:ascii="Nunito Sans" w:hAnsi="Nunito Sans"/>
          <w:b/>
          <w:color w:val="000000" w:themeColor="text1"/>
          <w:sz w:val="21"/>
          <w:szCs w:val="21"/>
          <w:vertAlign w:val="superscript"/>
        </w:rPr>
        <w:t>1</w:t>
      </w:r>
      <w:r w:rsidRPr="007E252C">
        <w:rPr>
          <w:rFonts w:ascii="Nunito Sans" w:hAnsi="Nunito Sans"/>
          <w:color w:val="000000" w:themeColor="text1"/>
          <w:sz w:val="21"/>
          <w:szCs w:val="21"/>
        </w:rPr>
        <w:t>, and the logic rule</w:t>
      </w:r>
      <w:r>
        <w:rPr>
          <w:rFonts w:ascii="Nunito Sans" w:hAnsi="Nunito Sans"/>
          <w:color w:val="000000" w:themeColor="text1"/>
          <w:sz w:val="21"/>
          <w:szCs w:val="21"/>
          <w:vertAlign w:val="superscript"/>
        </w:rPr>
        <w:t>2</w:t>
      </w:r>
      <w:r w:rsidRPr="007E252C">
        <w:rPr>
          <w:rFonts w:ascii="Nunito Sans" w:hAnsi="Nunito Sans"/>
          <w:color w:val="000000" w:themeColor="text1"/>
          <w:sz w:val="21"/>
          <w:szCs w:val="21"/>
        </w:rPr>
        <w:t xml:space="preserve"> </w:t>
      </w:r>
      <w:r w:rsidRPr="007E252C">
        <w:rPr>
          <w:rFonts w:ascii="Nunito Sans" w:hAnsi="Nunito Sans"/>
          <w:sz w:val="21"/>
          <w:szCs w:val="21"/>
        </w:rPr>
        <w:t xml:space="preserve">below.  </w:t>
      </w:r>
      <w:r w:rsidRPr="007E252C">
        <w:rPr>
          <w:rFonts w:ascii="Nunito Sans" w:hAnsi="Nunito Sans"/>
          <w:b/>
          <w:sz w:val="21"/>
          <w:szCs w:val="21"/>
        </w:rPr>
        <w:t>The process is meant to be led by teacher professional judgement</w:t>
      </w:r>
      <w:r w:rsidRPr="007E252C">
        <w:rPr>
          <w:rFonts w:ascii="Nunito Sans" w:hAnsi="Nunito Sans"/>
          <w:sz w:val="21"/>
          <w:szCs w:val="21"/>
        </w:rPr>
        <w:t>.</w:t>
      </w:r>
    </w:p>
    <w:tbl>
      <w:tblPr>
        <w:tblStyle w:val="TableGrid"/>
        <w:tblpPr w:leftFromText="180" w:rightFromText="180" w:vertAnchor="page" w:horzAnchor="margin" w:tblpXSpec="center" w:tblpY="4278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3289"/>
        <w:gridCol w:w="1276"/>
        <w:gridCol w:w="1275"/>
        <w:gridCol w:w="964"/>
      </w:tblGrid>
      <w:tr w:rsidR="004615AE" w:rsidRPr="009A61CA" w14:paraId="09A32CBD" w14:textId="77777777" w:rsidTr="00AB73E3"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69B9B414" w14:textId="77777777" w:rsidR="004615AE" w:rsidRPr="0073709D" w:rsidRDefault="004615AE" w:rsidP="00AB73E3">
            <w:pPr>
              <w:pStyle w:val="Heading1"/>
              <w:spacing w:before="0"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Proficiency Scale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143E5768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Logic Rule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6ABF917" w14:textId="77777777" w:rsidR="004615AE" w:rsidRPr="0073709D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Percentage Grade</w:t>
            </w:r>
          </w:p>
          <w:p w14:paraId="7E7FA5B1" w14:textId="77777777" w:rsidR="004615AE" w:rsidRPr="0073709D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2047C4D" w14:textId="77777777" w:rsidR="004615AE" w:rsidRPr="0073709D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Percentage</w:t>
            </w:r>
          </w:p>
          <w:p w14:paraId="01215956" w14:textId="77777777" w:rsidR="004615AE" w:rsidRPr="0073709D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 xml:space="preserve">Grade Reported </w:t>
            </w:r>
            <w:r w:rsidRPr="0073709D">
              <w:rPr>
                <w:rFonts w:ascii="Nunito Sans" w:hAnsi="Nunito Sans"/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76CF708" w14:textId="77777777" w:rsidR="004615AE" w:rsidRPr="0073709D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Yukon</w:t>
            </w:r>
          </w:p>
          <w:p w14:paraId="2A4DE6FC" w14:textId="77777777" w:rsidR="004615AE" w:rsidRPr="0073709D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Letter Grade</w:t>
            </w:r>
          </w:p>
        </w:tc>
      </w:tr>
      <w:tr w:rsidR="004615AE" w:rsidRPr="009A61CA" w14:paraId="58E9298D" w14:textId="77777777" w:rsidTr="00AB73E3">
        <w:trPr>
          <w:trHeight w:val="509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53F8044F" w14:textId="77777777" w:rsidR="004615AE" w:rsidRPr="0073709D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Extending (4)</w:t>
            </w:r>
          </w:p>
          <w:p w14:paraId="6CCA26A2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proofErr w:type="gramStart"/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The  student</w:t>
            </w:r>
            <w:proofErr w:type="gramEnd"/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demonstrates a sophisticated understanding of the concepts and competencies relevant to the expected learning.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22391030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All 4s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22EB451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86-100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4C847B7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4" w:type="dxa"/>
            <w:vMerge w:val="restart"/>
            <w:shd w:val="clear" w:color="auto" w:fill="F2F2F2" w:themeFill="background1" w:themeFillShade="F2"/>
            <w:vAlign w:val="center"/>
          </w:tcPr>
          <w:p w14:paraId="22740B7B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A</w:t>
            </w:r>
          </w:p>
        </w:tc>
      </w:tr>
      <w:tr w:rsidR="004615AE" w:rsidRPr="009A61CA" w14:paraId="04E9A6B4" w14:textId="77777777" w:rsidTr="00AB73E3">
        <w:trPr>
          <w:trHeight w:val="509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03EBE516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0BC02ED3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Almost all 4s and the occasional 3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6D1001C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AFE197F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64" w:type="dxa"/>
            <w:vMerge/>
            <w:shd w:val="clear" w:color="auto" w:fill="F2F2F2" w:themeFill="background1" w:themeFillShade="F2"/>
            <w:vAlign w:val="center"/>
          </w:tcPr>
          <w:p w14:paraId="0125097D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615AE" w:rsidRPr="009A61CA" w14:paraId="74B580E3" w14:textId="77777777" w:rsidTr="00AB73E3">
        <w:trPr>
          <w:trHeight w:val="509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</w:tcPr>
          <w:p w14:paraId="12ACF3E7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10159FD9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4s, some 3s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8A20183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A20B4AB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64" w:type="dxa"/>
            <w:vMerge/>
            <w:shd w:val="clear" w:color="auto" w:fill="F2F2F2" w:themeFill="background1" w:themeFillShade="F2"/>
            <w:vAlign w:val="center"/>
          </w:tcPr>
          <w:p w14:paraId="03BFEB60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615AE" w:rsidRPr="009A61CA" w14:paraId="11C001CD" w14:textId="77777777" w:rsidTr="00AB73E3">
        <w:trPr>
          <w:trHeight w:val="501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721E7B73" w14:textId="77777777" w:rsidR="004615AE" w:rsidRPr="0073709D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Proficient (3)</w:t>
            </w:r>
          </w:p>
          <w:p w14:paraId="1672D5B4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The student demonstrates a complete understanding of the concepts and competencies relevant to the expected learning.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4E7D15A9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3s, some 4s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FB4C1DF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73-85</w:t>
            </w:r>
          </w:p>
          <w:p w14:paraId="447E5ACF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6E8606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vAlign w:val="center"/>
          </w:tcPr>
          <w:p w14:paraId="31187151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B</w:t>
            </w:r>
          </w:p>
        </w:tc>
      </w:tr>
      <w:tr w:rsidR="004615AE" w:rsidRPr="009A61CA" w14:paraId="2116776F" w14:textId="77777777" w:rsidTr="00AB73E3">
        <w:trPr>
          <w:trHeight w:val="501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0E11D2FE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5CD8129E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Almost all 3s and the occasional 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84F2803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FBEFB84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1CC3DD88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615AE" w:rsidRPr="009A61CA" w14:paraId="6AF06864" w14:textId="77777777" w:rsidTr="00AB73E3">
        <w:trPr>
          <w:trHeight w:val="501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75F0ACAC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D1D2A09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3s, one/two 2s and no 1s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2E2764E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E182C6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6A62CA1B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4615AE" w:rsidRPr="009A61CA" w14:paraId="18EABA54" w14:textId="77777777" w:rsidTr="00AB73E3">
        <w:trPr>
          <w:trHeight w:val="498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23E1A477" w14:textId="77777777" w:rsidR="004615AE" w:rsidRPr="0073709D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Developing (2)</w:t>
            </w:r>
          </w:p>
          <w:p w14:paraId="226F1E82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The student demonstrates a partial understanding of the concepts and competencies relevant to the expected learning.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1BF21A53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A mix of 2s and 3s, mostly 2s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1E8A55D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50-72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51CB800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79CBC252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C+</w:t>
            </w:r>
          </w:p>
        </w:tc>
      </w:tr>
      <w:tr w:rsidR="004615AE" w:rsidRPr="009A61CA" w14:paraId="26E4DE6C" w14:textId="77777777" w:rsidTr="00AB73E3">
        <w:trPr>
          <w:trHeight w:val="498"/>
        </w:trPr>
        <w:tc>
          <w:tcPr>
            <w:tcW w:w="3681" w:type="dxa"/>
            <w:vMerge/>
            <w:shd w:val="clear" w:color="auto" w:fill="BFBFBF" w:themeFill="background1" w:themeFillShade="BF"/>
            <w:vAlign w:val="center"/>
          </w:tcPr>
          <w:p w14:paraId="7FFAE9C6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57E75926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Mostly 2s, no 1s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6153E955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B2B5C9C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798CBABD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C</w:t>
            </w:r>
          </w:p>
        </w:tc>
      </w:tr>
      <w:tr w:rsidR="004615AE" w:rsidRPr="009A61CA" w14:paraId="645FA773" w14:textId="77777777" w:rsidTr="00AB73E3">
        <w:trPr>
          <w:trHeight w:val="498"/>
        </w:trPr>
        <w:tc>
          <w:tcPr>
            <w:tcW w:w="3681" w:type="dxa"/>
            <w:vMerge/>
            <w:shd w:val="clear" w:color="auto" w:fill="BFBFBF" w:themeFill="background1" w:themeFillShade="BF"/>
            <w:vAlign w:val="center"/>
          </w:tcPr>
          <w:p w14:paraId="35358F28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62C1B4AA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2s, some 1s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3C3CD45F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4AC0899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56D27F04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sz w:val="20"/>
                <w:szCs w:val="20"/>
              </w:rPr>
            </w:pPr>
            <w:r w:rsidRPr="0073709D">
              <w:rPr>
                <w:rFonts w:ascii="Nunito Sans" w:hAnsi="Nunito Sans"/>
                <w:sz w:val="20"/>
                <w:szCs w:val="20"/>
              </w:rPr>
              <w:t>C-</w:t>
            </w:r>
          </w:p>
        </w:tc>
      </w:tr>
      <w:tr w:rsidR="004615AE" w:rsidRPr="009A61CA" w14:paraId="65FAA639" w14:textId="77777777" w:rsidTr="00AB73E3">
        <w:trPr>
          <w:trHeight w:val="148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A7CF4D" w14:textId="77777777" w:rsidR="004615AE" w:rsidRPr="0073709D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Emerging (1)</w:t>
            </w:r>
          </w:p>
          <w:p w14:paraId="74C8A5B8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  <w:lang w:val="en-CA"/>
              </w:rPr>
              <w:t>The student demonstrates an initial understanding of the concepts and competencies relevant to the expected learning.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A817F" w14:textId="77777777" w:rsidR="004615AE" w:rsidRPr="0073709D" w:rsidRDefault="004615AE" w:rsidP="00AB73E3">
            <w:pPr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Mostly 1s, and the occasional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96D680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40-49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AFE5E2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12F2D6" w14:textId="77777777" w:rsidR="004615AE" w:rsidRPr="0073709D" w:rsidRDefault="004615AE" w:rsidP="00AB73E3">
            <w:pPr>
              <w:jc w:val="center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  <w:r w:rsidRPr="0073709D">
              <w:rPr>
                <w:rFonts w:ascii="Nunito Sans" w:hAnsi="Nunito Sans"/>
                <w:color w:val="000000" w:themeColor="text1"/>
                <w:sz w:val="20"/>
                <w:szCs w:val="20"/>
              </w:rPr>
              <w:t>F</w:t>
            </w:r>
          </w:p>
        </w:tc>
      </w:tr>
    </w:tbl>
    <w:p w14:paraId="5BC7D889" w14:textId="77777777" w:rsidR="004615AE" w:rsidRPr="007E252C" w:rsidRDefault="004615AE" w:rsidP="004615AE">
      <w:pPr>
        <w:spacing w:before="120"/>
        <w:ind w:left="-709" w:right="-527"/>
        <w:rPr>
          <w:rFonts w:ascii="Nunito Sans" w:hAnsi="Nunito Sans"/>
          <w:b/>
          <w:sz w:val="21"/>
          <w:szCs w:val="21"/>
        </w:rPr>
      </w:pPr>
      <w:r>
        <w:rPr>
          <w:rFonts w:ascii="Nunito Sans" w:hAnsi="Nunito Sans" w:cs="Times New Roman"/>
          <w:sz w:val="21"/>
          <w:szCs w:val="21"/>
        </w:rPr>
        <w:t>W</w:t>
      </w:r>
      <w:r w:rsidRPr="0061428A">
        <w:rPr>
          <w:rFonts w:ascii="Nunito Sans" w:hAnsi="Nunito Sans" w:cs="Times New Roman"/>
          <w:sz w:val="21"/>
          <w:szCs w:val="21"/>
        </w:rPr>
        <w:t xml:space="preserve">here there is insufficient evidence available to determine a proficiency level, </w:t>
      </w:r>
      <w:r w:rsidRPr="0061428A">
        <w:rPr>
          <w:rFonts w:ascii="Nunito Sans" w:hAnsi="Nunito Sans" w:cs="Times New Roman"/>
          <w:color w:val="000000"/>
          <w:sz w:val="21"/>
          <w:szCs w:val="21"/>
        </w:rPr>
        <w:t xml:space="preserve">teachers may use their professional judgement to determine if the use of “I” is appropriate and in the best interests of the student.  </w:t>
      </w:r>
      <w:r>
        <w:rPr>
          <w:rFonts w:ascii="Nunito Sans" w:hAnsi="Nunito Sans" w:cs="Times New Roman"/>
          <w:color w:val="000000"/>
          <w:sz w:val="21"/>
          <w:szCs w:val="21"/>
        </w:rPr>
        <w:t>Comments must clearly communicate</w:t>
      </w:r>
      <w:r w:rsidRPr="0061428A">
        <w:rPr>
          <w:rFonts w:ascii="Nunito Sans" w:hAnsi="Nunito Sans" w:cs="Times New Roman"/>
          <w:color w:val="000000"/>
          <w:sz w:val="21"/>
          <w:szCs w:val="21"/>
        </w:rPr>
        <w:t xml:space="preserve"> whether the “I” is because the student has shown no evidence of understanding in their submitted work or has not submitted evidenc</w:t>
      </w:r>
      <w:r>
        <w:rPr>
          <w:rFonts w:ascii="Nunito Sans" w:hAnsi="Nunito Sans" w:cs="Times New Roman"/>
          <w:color w:val="000000"/>
          <w:sz w:val="21"/>
          <w:szCs w:val="21"/>
        </w:rPr>
        <w:t xml:space="preserve">e.  </w:t>
      </w:r>
      <w:r w:rsidRPr="007E252C">
        <w:rPr>
          <w:rFonts w:ascii="Nunito Sans" w:hAnsi="Nunito Sans"/>
          <w:sz w:val="21"/>
          <w:szCs w:val="21"/>
        </w:rPr>
        <w:t>When</w:t>
      </w:r>
      <w:r>
        <w:rPr>
          <w:rFonts w:ascii="Nunito Sans" w:hAnsi="Nunito Sans"/>
          <w:sz w:val="21"/>
          <w:szCs w:val="21"/>
        </w:rPr>
        <w:t xml:space="preserve"> “I” </w:t>
      </w:r>
      <w:r w:rsidRPr="007E252C">
        <w:rPr>
          <w:rFonts w:ascii="Nunito Sans" w:hAnsi="Nunito Sans"/>
          <w:sz w:val="21"/>
          <w:szCs w:val="21"/>
        </w:rPr>
        <w:t xml:space="preserve">must be </w:t>
      </w:r>
      <w:r>
        <w:rPr>
          <w:rFonts w:ascii="Nunito Sans" w:hAnsi="Nunito Sans"/>
          <w:sz w:val="21"/>
          <w:szCs w:val="21"/>
        </w:rPr>
        <w:t>converted</w:t>
      </w:r>
      <w:r w:rsidRPr="007E252C">
        <w:rPr>
          <w:rFonts w:ascii="Nunito Sans" w:hAnsi="Nunito Sans"/>
          <w:sz w:val="21"/>
          <w:szCs w:val="21"/>
        </w:rPr>
        <w:t xml:space="preserve"> to a grade</w:t>
      </w:r>
      <w:r>
        <w:rPr>
          <w:rFonts w:ascii="Nunito Sans" w:hAnsi="Nunito Sans"/>
          <w:sz w:val="21"/>
          <w:szCs w:val="21"/>
        </w:rPr>
        <w:t xml:space="preserve"> in </w:t>
      </w:r>
      <w:r w:rsidRPr="0061428A">
        <w:rPr>
          <w:rFonts w:ascii="Nunito Sans" w:hAnsi="Nunito Sans"/>
          <w:sz w:val="21"/>
          <w:szCs w:val="21"/>
        </w:rPr>
        <w:t>Grades 10-12,</w:t>
      </w:r>
      <w:r w:rsidRPr="007E252C">
        <w:rPr>
          <w:rFonts w:ascii="Nunito Sans" w:hAnsi="Nunito Sans"/>
          <w:sz w:val="21"/>
          <w:szCs w:val="21"/>
        </w:rPr>
        <w:t xml:space="preserve"> </w:t>
      </w:r>
      <w:r>
        <w:rPr>
          <w:rFonts w:ascii="Nunito Sans" w:hAnsi="Nunito Sans"/>
          <w:sz w:val="21"/>
          <w:szCs w:val="21"/>
        </w:rPr>
        <w:t xml:space="preserve">the recommendation is: Percentage Grade Reported </w:t>
      </w:r>
      <w:r w:rsidRPr="00987D6B">
        <w:rPr>
          <w:rFonts w:ascii="Nunito Sans" w:hAnsi="Nunito Sans"/>
          <w:b/>
          <w:sz w:val="21"/>
          <w:szCs w:val="21"/>
        </w:rPr>
        <w:t>25%</w:t>
      </w:r>
      <w:r>
        <w:rPr>
          <w:rFonts w:ascii="Nunito Sans" w:hAnsi="Nunito Sans"/>
          <w:sz w:val="21"/>
          <w:szCs w:val="21"/>
        </w:rPr>
        <w:t xml:space="preserve">, Yukon Letter Grade </w:t>
      </w:r>
      <w:r w:rsidRPr="00987D6B">
        <w:rPr>
          <w:rFonts w:ascii="Nunito Sans" w:hAnsi="Nunito Sans"/>
          <w:b/>
          <w:sz w:val="21"/>
          <w:szCs w:val="21"/>
        </w:rPr>
        <w:t>F</w:t>
      </w:r>
      <w:r>
        <w:rPr>
          <w:rFonts w:ascii="Nunito Sans" w:hAnsi="Nunito Sans"/>
          <w:sz w:val="21"/>
          <w:szCs w:val="21"/>
        </w:rPr>
        <w:t>.</w:t>
      </w:r>
    </w:p>
    <w:p w14:paraId="1CCAD4F7" w14:textId="77777777" w:rsidR="004615AE" w:rsidRPr="007E252C" w:rsidRDefault="004615AE" w:rsidP="004615AE">
      <w:pPr>
        <w:spacing w:before="60"/>
        <w:ind w:left="-709" w:right="-527"/>
        <w:rPr>
          <w:rFonts w:ascii="Nunito Sans" w:hAnsi="Nunito Sans"/>
          <w:sz w:val="21"/>
          <w:szCs w:val="21"/>
        </w:rPr>
      </w:pPr>
      <w:proofErr w:type="gramStart"/>
      <w:r>
        <w:rPr>
          <w:rFonts w:ascii="Nunito Sans" w:hAnsi="Nunito Sans"/>
          <w:b/>
          <w:sz w:val="21"/>
          <w:szCs w:val="21"/>
        </w:rPr>
        <w:t>1</w:t>
      </w:r>
      <w:r w:rsidRPr="007E252C">
        <w:rPr>
          <w:rFonts w:ascii="Nunito Sans" w:hAnsi="Nunito Sans"/>
          <w:b/>
          <w:sz w:val="21"/>
          <w:szCs w:val="21"/>
        </w:rPr>
        <w:t xml:space="preserve">  More</w:t>
      </w:r>
      <w:proofErr w:type="gramEnd"/>
      <w:r w:rsidRPr="007E252C">
        <w:rPr>
          <w:rFonts w:ascii="Nunito Sans" w:hAnsi="Nunito Sans"/>
          <w:b/>
          <w:sz w:val="21"/>
          <w:szCs w:val="21"/>
        </w:rPr>
        <w:t xml:space="preserve"> recent evidence:</w:t>
      </w:r>
      <w:r w:rsidRPr="007E252C">
        <w:rPr>
          <w:rFonts w:ascii="Nunito Sans" w:hAnsi="Nunito Sans"/>
          <w:sz w:val="21"/>
          <w:szCs w:val="21"/>
        </w:rPr>
        <w:t xml:space="preserve">  Only a student’s more recent evidence of achievement of learning standards should be considered in grading.</w:t>
      </w:r>
    </w:p>
    <w:p w14:paraId="2C58CF5D" w14:textId="77777777" w:rsidR="004615AE" w:rsidRDefault="004615AE" w:rsidP="004615AE">
      <w:pPr>
        <w:spacing w:before="60"/>
        <w:ind w:left="-709" w:right="-527"/>
        <w:rPr>
          <w:rFonts w:ascii="Nunito Sans" w:hAnsi="Nunito Sans"/>
          <w:sz w:val="21"/>
          <w:szCs w:val="21"/>
        </w:rPr>
      </w:pPr>
      <w:proofErr w:type="gramStart"/>
      <w:r>
        <w:rPr>
          <w:rFonts w:ascii="Nunito Sans" w:hAnsi="Nunito Sans"/>
          <w:b/>
          <w:sz w:val="21"/>
          <w:szCs w:val="21"/>
        </w:rPr>
        <w:t>2</w:t>
      </w:r>
      <w:r w:rsidRPr="007E252C">
        <w:rPr>
          <w:rFonts w:ascii="Nunito Sans" w:hAnsi="Nunito Sans"/>
          <w:b/>
          <w:sz w:val="21"/>
          <w:szCs w:val="21"/>
        </w:rPr>
        <w:t xml:space="preserve">  Logic</w:t>
      </w:r>
      <w:proofErr w:type="gramEnd"/>
      <w:r w:rsidRPr="007E252C">
        <w:rPr>
          <w:rFonts w:ascii="Nunito Sans" w:hAnsi="Nunito Sans"/>
          <w:b/>
          <w:sz w:val="21"/>
          <w:szCs w:val="21"/>
        </w:rPr>
        <w:t xml:space="preserve"> Rule:</w:t>
      </w:r>
      <w:r w:rsidRPr="007E252C">
        <w:rPr>
          <w:rFonts w:ascii="Nunito Sans" w:hAnsi="Nunito Sans"/>
          <w:sz w:val="21"/>
          <w:szCs w:val="21"/>
        </w:rPr>
        <w:t xml:space="preserve">  A series of statements that describe how grades for learning standards will be converted into a final grade for a course. (adapted with permission</w:t>
      </w:r>
      <w:r>
        <w:rPr>
          <w:rFonts w:ascii="Nunito Sans" w:hAnsi="Nunito Sans"/>
          <w:sz w:val="21"/>
          <w:szCs w:val="21"/>
        </w:rPr>
        <w:t xml:space="preserve"> and guidance</w:t>
      </w:r>
      <w:r w:rsidRPr="007E252C">
        <w:rPr>
          <w:rFonts w:ascii="Nunito Sans" w:hAnsi="Nunito Sans"/>
          <w:sz w:val="21"/>
          <w:szCs w:val="21"/>
        </w:rPr>
        <w:t xml:space="preserve"> from </w:t>
      </w:r>
      <w:r w:rsidRPr="007E252C">
        <w:rPr>
          <w:rFonts w:ascii="Nunito Sans" w:hAnsi="Nunito Sans"/>
          <w:i/>
          <w:sz w:val="21"/>
          <w:szCs w:val="21"/>
        </w:rPr>
        <w:t>Ken O’Connor, How to Grade for Learning, Fourth Edition, 2018</w:t>
      </w:r>
      <w:r w:rsidRPr="007E252C">
        <w:rPr>
          <w:rFonts w:ascii="Nunito Sans" w:hAnsi="Nunito Sans"/>
          <w:sz w:val="21"/>
          <w:szCs w:val="21"/>
        </w:rPr>
        <w:t xml:space="preserve">) </w:t>
      </w:r>
    </w:p>
    <w:p w14:paraId="6617EF23" w14:textId="77777777" w:rsidR="004615AE" w:rsidRPr="007E252C" w:rsidRDefault="004615AE" w:rsidP="004615AE">
      <w:pPr>
        <w:spacing w:before="60"/>
        <w:ind w:left="-709" w:right="-527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b/>
          <w:sz w:val="21"/>
          <w:szCs w:val="21"/>
        </w:rPr>
        <w:t>3</w:t>
      </w:r>
      <w:r w:rsidRPr="007E252C">
        <w:rPr>
          <w:rFonts w:ascii="Nunito Sans" w:hAnsi="Nunito Sans"/>
          <w:b/>
          <w:sz w:val="21"/>
          <w:szCs w:val="21"/>
        </w:rPr>
        <w:t xml:space="preserve"> Percentage Grade Reported:</w:t>
      </w:r>
      <w:r w:rsidRPr="007E252C">
        <w:rPr>
          <w:rFonts w:ascii="Nunito Sans" w:hAnsi="Nunito Sans"/>
          <w:sz w:val="21"/>
          <w:szCs w:val="21"/>
        </w:rPr>
        <w:t xml:space="preserve">  Teachers may use their professional judgement to report percentages other than those listed in this column</w:t>
      </w:r>
    </w:p>
    <w:p w14:paraId="46DE93A1" w14:textId="2661842E" w:rsidR="004615AE" w:rsidRDefault="004615AE" w:rsidP="00612BE6">
      <w:pPr>
        <w:spacing w:after="120"/>
        <w:ind w:left="-709" w:right="-529"/>
        <w:rPr>
          <w:rFonts w:ascii="Nunito Sans" w:hAnsi="Nunito Sans"/>
          <w:sz w:val="21"/>
          <w:szCs w:val="21"/>
        </w:rPr>
      </w:pPr>
    </w:p>
    <w:p w14:paraId="76FD7CA6" w14:textId="77777777" w:rsidR="004615AE" w:rsidRPr="001E41FC" w:rsidRDefault="004615AE" w:rsidP="004615AE">
      <w:pPr>
        <w:spacing w:line="260" w:lineRule="atLeast"/>
        <w:ind w:left="-709" w:right="-716"/>
        <w:rPr>
          <w:rFonts w:ascii="Nunito Sans" w:hAnsi="Nunito Sans"/>
          <w:sz w:val="22"/>
          <w:szCs w:val="22"/>
        </w:rPr>
      </w:pPr>
      <w:r w:rsidRPr="001E41FC">
        <w:rPr>
          <w:rFonts w:ascii="Nunito Sans" w:hAnsi="Nunito Sans"/>
          <w:sz w:val="22"/>
          <w:szCs w:val="22"/>
        </w:rPr>
        <w:t>Education</w:t>
      </w:r>
      <w:r w:rsidRPr="001E41FC">
        <w:rPr>
          <w:rFonts w:ascii="Nunito Sans" w:hAnsi="Nunito Sans"/>
          <w:sz w:val="22"/>
          <w:szCs w:val="22"/>
        </w:rPr>
        <w:br/>
        <w:t xml:space="preserve">PO Box 2703, Whitehorse, </w:t>
      </w:r>
      <w:proofErr w:type="gramStart"/>
      <w:r w:rsidRPr="001E41FC">
        <w:rPr>
          <w:rFonts w:ascii="Nunito Sans" w:hAnsi="Nunito Sans"/>
          <w:sz w:val="22"/>
          <w:szCs w:val="22"/>
        </w:rPr>
        <w:t>Yukon  Y</w:t>
      </w:r>
      <w:proofErr w:type="gramEnd"/>
      <w:r w:rsidRPr="001E41FC">
        <w:rPr>
          <w:rFonts w:ascii="Nunito Sans" w:hAnsi="Nunito Sans"/>
          <w:sz w:val="22"/>
          <w:szCs w:val="22"/>
        </w:rPr>
        <w:t>1A 2C6</w:t>
      </w:r>
    </w:p>
    <w:p w14:paraId="75A3EA7B" w14:textId="77777777" w:rsidR="004615AE" w:rsidRPr="001E41FC" w:rsidRDefault="004615AE" w:rsidP="004615AE">
      <w:pPr>
        <w:ind w:left="-567" w:hanging="142"/>
        <w:rPr>
          <w:rFonts w:ascii="Nunito Sans" w:hAnsi="Nunito Sans" w:cs="Arial"/>
          <w:b/>
          <w:sz w:val="20"/>
          <w:szCs w:val="20"/>
        </w:rPr>
      </w:pPr>
    </w:p>
    <w:p w14:paraId="2C676C64" w14:textId="77777777" w:rsidR="004615AE" w:rsidRPr="001E41FC" w:rsidRDefault="004615AE" w:rsidP="004615AE">
      <w:pPr>
        <w:spacing w:after="120"/>
        <w:ind w:hanging="709"/>
        <w:rPr>
          <w:rFonts w:ascii="Nunito Sans" w:hAnsi="Nunito Sans"/>
          <w:b/>
          <w:color w:val="000000" w:themeColor="text1"/>
          <w:sz w:val="22"/>
          <w:szCs w:val="22"/>
        </w:rPr>
      </w:pPr>
    </w:p>
    <w:p w14:paraId="16B60DF9" w14:textId="77777777" w:rsidR="004615AE" w:rsidRPr="001E41FC" w:rsidRDefault="004615AE" w:rsidP="004615AE">
      <w:pPr>
        <w:spacing w:after="120"/>
        <w:ind w:hanging="709"/>
        <w:rPr>
          <w:rFonts w:ascii="Nunito Sans" w:hAnsi="Nunito Sans"/>
          <w:b/>
          <w:color w:val="000000" w:themeColor="text1"/>
        </w:rPr>
      </w:pPr>
      <w:r w:rsidRPr="001E41FC">
        <w:rPr>
          <w:rFonts w:ascii="Nunito Sans" w:hAnsi="Nunito Sans"/>
          <w:b/>
          <w:color w:val="000000" w:themeColor="text1"/>
        </w:rPr>
        <w:t>For Parents:  Yukon Education Grade Alignment Guide</w:t>
      </w:r>
    </w:p>
    <w:p w14:paraId="6142D489" w14:textId="77777777" w:rsidR="004615AE" w:rsidRPr="001E41FC" w:rsidRDefault="004615AE" w:rsidP="004615AE">
      <w:pPr>
        <w:ind w:left="-709" w:right="-375"/>
        <w:rPr>
          <w:rFonts w:ascii="Nunito Sans" w:hAnsi="Nunito Sans"/>
          <w:color w:val="000000" w:themeColor="text1"/>
          <w:sz w:val="22"/>
          <w:szCs w:val="22"/>
        </w:rPr>
      </w:pPr>
    </w:p>
    <w:p w14:paraId="5BE065C2" w14:textId="77777777" w:rsidR="004615AE" w:rsidRPr="001E41FC" w:rsidRDefault="004615AE" w:rsidP="004615AE">
      <w:pPr>
        <w:ind w:left="-709" w:right="-374"/>
        <w:contextualSpacing/>
        <w:rPr>
          <w:rFonts w:ascii="Nunito Sans" w:hAnsi="Nunito Sans"/>
          <w:color w:val="000000" w:themeColor="text1"/>
          <w:sz w:val="22"/>
          <w:szCs w:val="22"/>
        </w:rPr>
      </w:pPr>
      <w:r w:rsidRPr="001E41FC">
        <w:rPr>
          <w:rFonts w:ascii="Nunito Sans" w:hAnsi="Nunito Sans"/>
          <w:color w:val="000000" w:themeColor="text1"/>
          <w:sz w:val="22"/>
          <w:szCs w:val="22"/>
        </w:rPr>
        <w:t>The following chart shows how standards-based grades/proficiency levels will be converted to traditional percentage and letter grades for the purpose of official transcripts (in Grades 10-12).</w:t>
      </w:r>
    </w:p>
    <w:p w14:paraId="4AACA316" w14:textId="77777777" w:rsidR="004615AE" w:rsidRPr="001E41FC" w:rsidRDefault="004615AE" w:rsidP="004615AE">
      <w:pPr>
        <w:ind w:left="-709" w:right="-374"/>
        <w:contextualSpacing/>
        <w:rPr>
          <w:rFonts w:ascii="Nunito Sans" w:hAnsi="Nunito Sans"/>
          <w:color w:val="000000" w:themeColor="text1"/>
          <w:sz w:val="22"/>
          <w:szCs w:val="22"/>
        </w:rPr>
      </w:pPr>
    </w:p>
    <w:tbl>
      <w:tblPr>
        <w:tblStyle w:val="TableGrid"/>
        <w:tblW w:w="9303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5192"/>
        <w:gridCol w:w="2127"/>
        <w:gridCol w:w="1984"/>
      </w:tblGrid>
      <w:tr w:rsidR="004615AE" w:rsidRPr="001E41FC" w14:paraId="738D1C3D" w14:textId="77777777" w:rsidTr="00AB73E3">
        <w:trPr>
          <w:trHeight w:val="558"/>
        </w:trPr>
        <w:tc>
          <w:tcPr>
            <w:tcW w:w="5192" w:type="dxa"/>
            <w:tcBorders>
              <w:top w:val="single" w:sz="4" w:space="0" w:color="auto"/>
            </w:tcBorders>
            <w:vAlign w:val="center"/>
          </w:tcPr>
          <w:p w14:paraId="5BF95423" w14:textId="77777777" w:rsidR="004615AE" w:rsidRPr="001E41FC" w:rsidRDefault="004615AE" w:rsidP="00AB73E3">
            <w:pPr>
              <w:pStyle w:val="Heading1"/>
              <w:spacing w:before="0"/>
              <w:jc w:val="center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Proficiency Scale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71DB80E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Percentage Grade 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A2AB5CC" w14:textId="77777777" w:rsidR="004615AE" w:rsidRPr="001E41FC" w:rsidRDefault="004615AE" w:rsidP="00AB73E3">
            <w:pPr>
              <w:contextualSpacing/>
              <w:jc w:val="center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Yukon Letter Grade</w:t>
            </w:r>
          </w:p>
        </w:tc>
      </w:tr>
      <w:tr w:rsidR="004615AE" w:rsidRPr="001E41FC" w14:paraId="3673250A" w14:textId="77777777" w:rsidTr="00AB73E3">
        <w:trPr>
          <w:trHeight w:val="1547"/>
        </w:trPr>
        <w:tc>
          <w:tcPr>
            <w:tcW w:w="5192" w:type="dxa"/>
            <w:shd w:val="clear" w:color="auto" w:fill="F2F2F2" w:themeFill="background1" w:themeFillShade="F2"/>
            <w:vAlign w:val="center"/>
          </w:tcPr>
          <w:p w14:paraId="078134CB" w14:textId="77777777" w:rsidR="004615AE" w:rsidRPr="001E41FC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Extending (4)</w:t>
            </w:r>
          </w:p>
          <w:p w14:paraId="02D30121" w14:textId="77777777" w:rsidR="004615AE" w:rsidRPr="001E41FC" w:rsidRDefault="004615AE" w:rsidP="00AB73E3">
            <w:pPr>
              <w:rPr>
                <w:rFonts w:ascii="Nunito Sans" w:hAnsi="Nunito Sans"/>
                <w:color w:val="000000" w:themeColor="text1"/>
                <w:sz w:val="22"/>
                <w:szCs w:val="22"/>
              </w:rPr>
            </w:pPr>
            <w:proofErr w:type="gramStart"/>
            <w:r w:rsidRPr="001E41FC">
              <w:rPr>
                <w:rFonts w:ascii="Nunito Sans" w:hAnsi="Nunito Sans"/>
                <w:color w:val="000000" w:themeColor="text1"/>
                <w:sz w:val="22"/>
                <w:szCs w:val="22"/>
              </w:rPr>
              <w:t>The  student</w:t>
            </w:r>
            <w:proofErr w:type="gramEnd"/>
            <w:r w:rsidRPr="001E41FC">
              <w:rPr>
                <w:rFonts w:ascii="Nunito Sans" w:hAnsi="Nunito Sans"/>
                <w:color w:val="000000" w:themeColor="text1"/>
                <w:sz w:val="22"/>
                <w:szCs w:val="22"/>
              </w:rPr>
              <w:t xml:space="preserve"> demonstrates a sophisticated understanding of the concepts and competencies relevant to the expected learning.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DEF6FF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86 - 100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694B1" w14:textId="77777777" w:rsidR="004615AE" w:rsidRPr="001E41FC" w:rsidRDefault="004615AE" w:rsidP="00AB73E3">
            <w:pPr>
              <w:jc w:val="center"/>
              <w:rPr>
                <w:rFonts w:ascii="Nunito Sans" w:hAnsi="Nunito Sans"/>
              </w:rPr>
            </w:pPr>
            <w:r w:rsidRPr="001E41FC">
              <w:rPr>
                <w:rFonts w:ascii="Nunito Sans" w:hAnsi="Nunito Sans"/>
              </w:rPr>
              <w:t>A</w:t>
            </w:r>
          </w:p>
        </w:tc>
      </w:tr>
      <w:tr w:rsidR="004615AE" w:rsidRPr="001E41FC" w14:paraId="5C0B470C" w14:textId="77777777" w:rsidTr="00AB73E3">
        <w:trPr>
          <w:trHeight w:val="1523"/>
        </w:trPr>
        <w:tc>
          <w:tcPr>
            <w:tcW w:w="5192" w:type="dxa"/>
            <w:shd w:val="clear" w:color="auto" w:fill="D9D9D9" w:themeFill="background1" w:themeFillShade="D9"/>
            <w:vAlign w:val="center"/>
          </w:tcPr>
          <w:p w14:paraId="7A60C932" w14:textId="77777777" w:rsidR="004615AE" w:rsidRPr="001E41FC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Proficient (3)</w:t>
            </w:r>
          </w:p>
          <w:p w14:paraId="6E1377D3" w14:textId="77777777" w:rsidR="004615AE" w:rsidRPr="001E41FC" w:rsidRDefault="004615AE" w:rsidP="00AB73E3">
            <w:pPr>
              <w:rPr>
                <w:rFonts w:ascii="Nunito Sans" w:hAnsi="Nunito Sans"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color w:val="000000" w:themeColor="text1"/>
                <w:sz w:val="22"/>
                <w:szCs w:val="22"/>
              </w:rPr>
              <w:t>The student demonstrates a complete understanding of the concepts and competencies relevant to the expected learning.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E8D2CF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73 - 85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EC4477" w14:textId="77777777" w:rsidR="004615AE" w:rsidRPr="001E41FC" w:rsidRDefault="004615AE" w:rsidP="00AB73E3">
            <w:pPr>
              <w:jc w:val="center"/>
              <w:rPr>
                <w:rFonts w:ascii="Nunito Sans" w:hAnsi="Nunito Sans"/>
              </w:rPr>
            </w:pPr>
            <w:r w:rsidRPr="001E41FC">
              <w:rPr>
                <w:rFonts w:ascii="Nunito Sans" w:hAnsi="Nunito Sans"/>
              </w:rPr>
              <w:t>B</w:t>
            </w:r>
          </w:p>
        </w:tc>
      </w:tr>
      <w:tr w:rsidR="004615AE" w:rsidRPr="001E41FC" w14:paraId="137E25AA" w14:textId="77777777" w:rsidTr="00AB73E3">
        <w:trPr>
          <w:trHeight w:val="498"/>
        </w:trPr>
        <w:tc>
          <w:tcPr>
            <w:tcW w:w="5192" w:type="dxa"/>
            <w:vMerge w:val="restart"/>
            <w:shd w:val="clear" w:color="auto" w:fill="BFBFBF" w:themeFill="background1" w:themeFillShade="BF"/>
            <w:vAlign w:val="center"/>
          </w:tcPr>
          <w:p w14:paraId="37B16B94" w14:textId="77777777" w:rsidR="004615AE" w:rsidRPr="001E41FC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Developing (2)</w:t>
            </w:r>
          </w:p>
          <w:p w14:paraId="2C78ECE6" w14:textId="77777777" w:rsidR="004615AE" w:rsidRPr="001E41FC" w:rsidRDefault="004615AE" w:rsidP="00AB73E3">
            <w:pPr>
              <w:rPr>
                <w:rFonts w:ascii="Nunito Sans" w:hAnsi="Nunito Sans"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color w:val="000000" w:themeColor="text1"/>
                <w:sz w:val="22"/>
                <w:szCs w:val="22"/>
              </w:rPr>
              <w:t>The student demonstrates a partial understanding of the concepts and competencies relevant to the expected learning.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250F1E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67-72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6C1CA63" w14:textId="77777777" w:rsidR="004615AE" w:rsidRPr="001E41FC" w:rsidRDefault="004615AE" w:rsidP="00AB73E3">
            <w:pPr>
              <w:jc w:val="center"/>
              <w:rPr>
                <w:rFonts w:ascii="Nunito Sans" w:hAnsi="Nunito Sans"/>
              </w:rPr>
            </w:pPr>
            <w:r w:rsidRPr="001E41FC">
              <w:rPr>
                <w:rFonts w:ascii="Nunito Sans" w:hAnsi="Nunito Sans"/>
              </w:rPr>
              <w:t>C+</w:t>
            </w:r>
          </w:p>
        </w:tc>
      </w:tr>
      <w:tr w:rsidR="004615AE" w:rsidRPr="001E41FC" w14:paraId="10A9AAAA" w14:textId="77777777" w:rsidTr="00AB73E3">
        <w:trPr>
          <w:trHeight w:val="498"/>
        </w:trPr>
        <w:tc>
          <w:tcPr>
            <w:tcW w:w="5192" w:type="dxa"/>
            <w:vMerge/>
            <w:shd w:val="clear" w:color="auto" w:fill="BFBFBF" w:themeFill="background1" w:themeFillShade="BF"/>
            <w:vAlign w:val="center"/>
          </w:tcPr>
          <w:p w14:paraId="69779B3C" w14:textId="77777777" w:rsidR="004615AE" w:rsidRPr="001E41FC" w:rsidRDefault="004615AE" w:rsidP="00AB73E3">
            <w:pPr>
              <w:rPr>
                <w:rFonts w:ascii="Nunito Sans" w:hAnsi="Nunito San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C8B3AA5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60-66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4558A5B" w14:textId="77777777" w:rsidR="004615AE" w:rsidRPr="001E41FC" w:rsidRDefault="004615AE" w:rsidP="00AB73E3">
            <w:pPr>
              <w:jc w:val="center"/>
              <w:rPr>
                <w:rFonts w:ascii="Nunito Sans" w:hAnsi="Nunito Sans"/>
              </w:rPr>
            </w:pPr>
            <w:r w:rsidRPr="001E41FC">
              <w:rPr>
                <w:rFonts w:ascii="Nunito Sans" w:hAnsi="Nunito Sans"/>
              </w:rPr>
              <w:t>C</w:t>
            </w:r>
          </w:p>
        </w:tc>
      </w:tr>
      <w:tr w:rsidR="004615AE" w:rsidRPr="001E41FC" w14:paraId="6A21A767" w14:textId="77777777" w:rsidTr="00AB73E3">
        <w:trPr>
          <w:trHeight w:val="498"/>
        </w:trPr>
        <w:tc>
          <w:tcPr>
            <w:tcW w:w="5192" w:type="dxa"/>
            <w:vMerge/>
            <w:shd w:val="clear" w:color="auto" w:fill="BFBFBF" w:themeFill="background1" w:themeFillShade="BF"/>
            <w:vAlign w:val="center"/>
          </w:tcPr>
          <w:p w14:paraId="5804FAEC" w14:textId="77777777" w:rsidR="004615AE" w:rsidRPr="001E41FC" w:rsidRDefault="004615AE" w:rsidP="00AB73E3">
            <w:pPr>
              <w:rPr>
                <w:rFonts w:ascii="Nunito Sans" w:hAnsi="Nunito San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521B0E4B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50-59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30035ED" w14:textId="77777777" w:rsidR="004615AE" w:rsidRPr="001E41FC" w:rsidRDefault="004615AE" w:rsidP="00AB73E3">
            <w:pPr>
              <w:jc w:val="center"/>
              <w:rPr>
                <w:rFonts w:ascii="Nunito Sans" w:hAnsi="Nunito Sans"/>
              </w:rPr>
            </w:pPr>
            <w:r w:rsidRPr="001E41FC">
              <w:rPr>
                <w:rFonts w:ascii="Nunito Sans" w:hAnsi="Nunito Sans"/>
              </w:rPr>
              <w:t>C-</w:t>
            </w:r>
          </w:p>
        </w:tc>
      </w:tr>
      <w:tr w:rsidR="004615AE" w:rsidRPr="001E41FC" w14:paraId="3B7AC17E" w14:textId="77777777" w:rsidTr="00AB73E3">
        <w:trPr>
          <w:trHeight w:val="1489"/>
        </w:trPr>
        <w:tc>
          <w:tcPr>
            <w:tcW w:w="51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20003F" w14:textId="77777777" w:rsidR="004615AE" w:rsidRPr="001E41FC" w:rsidRDefault="004615AE" w:rsidP="00AB73E3">
            <w:pPr>
              <w:spacing w:after="60"/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b/>
                <w:color w:val="000000" w:themeColor="text1"/>
                <w:sz w:val="22"/>
                <w:szCs w:val="22"/>
              </w:rPr>
              <w:t>Emerging (1)</w:t>
            </w:r>
          </w:p>
          <w:p w14:paraId="6EB644F4" w14:textId="77777777" w:rsidR="004615AE" w:rsidRPr="001E41FC" w:rsidRDefault="004615AE" w:rsidP="00AB73E3">
            <w:pPr>
              <w:rPr>
                <w:rFonts w:ascii="Nunito Sans" w:hAnsi="Nunito Sans"/>
                <w:color w:val="000000" w:themeColor="text1"/>
                <w:sz w:val="22"/>
                <w:szCs w:val="22"/>
              </w:rPr>
            </w:pPr>
            <w:r w:rsidRPr="001E41FC">
              <w:rPr>
                <w:rFonts w:ascii="Nunito Sans" w:hAnsi="Nunito Sans"/>
                <w:color w:val="000000" w:themeColor="text1"/>
                <w:sz w:val="22"/>
                <w:szCs w:val="22"/>
                <w:lang w:val="en-CA"/>
              </w:rPr>
              <w:t>The student demonstrates an initial understanding of the concepts and competencies relevant to the expected learning.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803D33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&lt;50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8B169" w14:textId="77777777" w:rsidR="004615AE" w:rsidRPr="001E41FC" w:rsidRDefault="004615AE" w:rsidP="00AB73E3">
            <w:pPr>
              <w:jc w:val="center"/>
              <w:rPr>
                <w:rFonts w:ascii="Nunito Sans" w:hAnsi="Nunito Sans"/>
                <w:color w:val="000000" w:themeColor="text1"/>
              </w:rPr>
            </w:pPr>
            <w:r w:rsidRPr="001E41FC">
              <w:rPr>
                <w:rFonts w:ascii="Nunito Sans" w:hAnsi="Nunito Sans"/>
                <w:color w:val="000000" w:themeColor="text1"/>
              </w:rPr>
              <w:t>F</w:t>
            </w:r>
          </w:p>
        </w:tc>
      </w:tr>
    </w:tbl>
    <w:p w14:paraId="6F5DC906" w14:textId="77777777" w:rsidR="004615AE" w:rsidRDefault="004615AE" w:rsidP="004615AE">
      <w:pPr>
        <w:rPr>
          <w:rFonts w:ascii="Nunito Sans" w:hAnsi="Nunito Sans"/>
        </w:rPr>
      </w:pPr>
    </w:p>
    <w:p w14:paraId="7BF5EB9A" w14:textId="77777777" w:rsidR="004615AE" w:rsidRDefault="004615AE" w:rsidP="004615AE">
      <w:pPr>
        <w:rPr>
          <w:rFonts w:ascii="Nunito Sans" w:hAnsi="Nunito Sans"/>
        </w:rPr>
      </w:pPr>
    </w:p>
    <w:p w14:paraId="245C800A" w14:textId="77777777" w:rsidR="004615AE" w:rsidRPr="008F22DF" w:rsidRDefault="004615AE" w:rsidP="004615AE">
      <w:pPr>
        <w:spacing w:before="120"/>
        <w:ind w:left="-709" w:right="-527"/>
        <w:rPr>
          <w:rFonts w:ascii="Nunito Sans" w:hAnsi="Nunito Sans"/>
          <w:b/>
        </w:rPr>
      </w:pPr>
      <w:r w:rsidRPr="008F22DF">
        <w:rPr>
          <w:rFonts w:ascii="Nunito Sans" w:hAnsi="Nunito Sans" w:cs="Times New Roman"/>
        </w:rPr>
        <w:t xml:space="preserve">Where there is insufficient evidence available to determine a proficiency level, </w:t>
      </w:r>
      <w:r w:rsidRPr="008F22DF">
        <w:rPr>
          <w:rFonts w:ascii="Nunito Sans" w:hAnsi="Nunito Sans" w:cs="Times New Roman"/>
          <w:color w:val="000000"/>
        </w:rPr>
        <w:t xml:space="preserve">an “I” may be reported.  Comments will clearly communicate whether the “I” is because the student has shown no evidence of understanding in their submitted work or has not submitted evidence.  </w:t>
      </w:r>
      <w:r w:rsidRPr="008F22DF">
        <w:rPr>
          <w:rFonts w:ascii="Nunito Sans" w:hAnsi="Nunito Sans"/>
        </w:rPr>
        <w:t xml:space="preserve">When “I” must be converted to a grade in Grades 10-12, it will become: Percentage Grade Reported </w:t>
      </w:r>
      <w:r w:rsidRPr="008F22DF">
        <w:rPr>
          <w:rFonts w:ascii="Nunito Sans" w:hAnsi="Nunito Sans"/>
          <w:b/>
        </w:rPr>
        <w:t>25%</w:t>
      </w:r>
      <w:r w:rsidRPr="008F22DF">
        <w:rPr>
          <w:rFonts w:ascii="Nunito Sans" w:hAnsi="Nunito Sans"/>
        </w:rPr>
        <w:t xml:space="preserve">, Yukon Letter Grade </w:t>
      </w:r>
      <w:r w:rsidRPr="008F22DF">
        <w:rPr>
          <w:rFonts w:ascii="Nunito Sans" w:hAnsi="Nunito Sans"/>
          <w:b/>
        </w:rPr>
        <w:t>F</w:t>
      </w:r>
      <w:r w:rsidRPr="008F22DF">
        <w:rPr>
          <w:rFonts w:ascii="Nunito Sans" w:hAnsi="Nunito Sans"/>
        </w:rPr>
        <w:t>.</w:t>
      </w:r>
    </w:p>
    <w:p w14:paraId="0BA8B450" w14:textId="77777777" w:rsidR="004615AE" w:rsidRPr="001E41FC" w:rsidRDefault="004615AE" w:rsidP="004615AE">
      <w:pPr>
        <w:rPr>
          <w:rFonts w:ascii="Nunito Sans" w:hAnsi="Nunito Sans"/>
        </w:rPr>
      </w:pPr>
    </w:p>
    <w:p w14:paraId="06188D9D" w14:textId="77777777" w:rsidR="004615AE" w:rsidRPr="007E252C" w:rsidRDefault="004615AE" w:rsidP="00612BE6">
      <w:pPr>
        <w:spacing w:after="120"/>
        <w:ind w:left="-709" w:right="-529"/>
        <w:rPr>
          <w:rFonts w:ascii="Nunito Sans" w:hAnsi="Nunito Sans"/>
          <w:sz w:val="21"/>
          <w:szCs w:val="21"/>
        </w:rPr>
      </w:pPr>
      <w:bookmarkStart w:id="0" w:name="_GoBack"/>
      <w:bookmarkEnd w:id="0"/>
    </w:p>
    <w:sectPr w:rsidR="004615AE" w:rsidRPr="007E252C" w:rsidSect="00A51091">
      <w:headerReference w:type="default" r:id="rId14"/>
      <w:headerReference w:type="first" r:id="rId15"/>
      <w:type w:val="continuous"/>
      <w:pgSz w:w="12240" w:h="15840" w:code="1"/>
      <w:pgMar w:top="851" w:right="1474" w:bottom="737" w:left="1797" w:header="709" w:footer="284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B8DF" w14:textId="77777777" w:rsidR="00C06494" w:rsidRDefault="00C06494" w:rsidP="00B22E7D">
      <w:r>
        <w:separator/>
      </w:r>
    </w:p>
  </w:endnote>
  <w:endnote w:type="continuationSeparator" w:id="0">
    <w:p w14:paraId="6DCF5C14" w14:textId="77777777" w:rsidR="00C06494" w:rsidRDefault="00C06494" w:rsidP="00B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6076" w14:textId="77777777" w:rsidR="00C06494" w:rsidRDefault="00C06494" w:rsidP="00B22E7D">
      <w:r>
        <w:separator/>
      </w:r>
    </w:p>
  </w:footnote>
  <w:footnote w:type="continuationSeparator" w:id="0">
    <w:p w14:paraId="2552B338" w14:textId="77777777" w:rsidR="00C06494" w:rsidRDefault="00C06494" w:rsidP="00B2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16CF" w14:textId="0981F5E0" w:rsidR="009B72B7" w:rsidRDefault="009B72B7" w:rsidP="001242A3">
    <w:pPr>
      <w:pStyle w:val="Header"/>
      <w:tabs>
        <w:tab w:val="clear" w:pos="4320"/>
        <w:tab w:val="clear" w:pos="8640"/>
        <w:tab w:val="left" w:pos="7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7A3C" w14:textId="3634A1E6" w:rsidR="009B72B7" w:rsidRPr="00124C7E" w:rsidRDefault="009B72B7">
    <w:pPr>
      <w:pStyle w:val="Header"/>
      <w:rPr>
        <w:vanish/>
      </w:rPr>
    </w:pPr>
    <w:r w:rsidRPr="00124C7E">
      <w:rPr>
        <w:noProof/>
        <w:vanish/>
      </w:rPr>
      <w:drawing>
        <wp:anchor distT="0" distB="0" distL="114300" distR="114300" simplePos="0" relativeHeight="251657216" behindDoc="1" locked="0" layoutInCell="1" allowOverlap="1" wp14:anchorId="7050E486" wp14:editId="6A5BEA27">
          <wp:simplePos x="0" y="0"/>
          <wp:positionH relativeFrom="column">
            <wp:posOffset>-1142365</wp:posOffset>
          </wp:positionH>
          <wp:positionV relativeFrom="paragraph">
            <wp:posOffset>-448310</wp:posOffset>
          </wp:positionV>
          <wp:extent cx="7772400" cy="2044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B0AA4"/>
    <w:multiLevelType w:val="hybridMultilevel"/>
    <w:tmpl w:val="F5CEA220"/>
    <w:lvl w:ilvl="0" w:tplc="84D2D3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271C"/>
    <w:multiLevelType w:val="hybridMultilevel"/>
    <w:tmpl w:val="0FBE68D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85"/>
    <w:rsid w:val="00033151"/>
    <w:rsid w:val="0004157E"/>
    <w:rsid w:val="00046809"/>
    <w:rsid w:val="000718C3"/>
    <w:rsid w:val="000771C0"/>
    <w:rsid w:val="00085902"/>
    <w:rsid w:val="000A6B2C"/>
    <w:rsid w:val="000D3B5C"/>
    <w:rsid w:val="000E0D02"/>
    <w:rsid w:val="000E45BD"/>
    <w:rsid w:val="0010229B"/>
    <w:rsid w:val="00110F76"/>
    <w:rsid w:val="00111701"/>
    <w:rsid w:val="00112773"/>
    <w:rsid w:val="00120D6C"/>
    <w:rsid w:val="001242A3"/>
    <w:rsid w:val="00124C7E"/>
    <w:rsid w:val="001250CC"/>
    <w:rsid w:val="001318ED"/>
    <w:rsid w:val="00134238"/>
    <w:rsid w:val="00134E2C"/>
    <w:rsid w:val="00135C46"/>
    <w:rsid w:val="0014493A"/>
    <w:rsid w:val="00161FA8"/>
    <w:rsid w:val="00167D95"/>
    <w:rsid w:val="00180255"/>
    <w:rsid w:val="0018029A"/>
    <w:rsid w:val="001C2F44"/>
    <w:rsid w:val="001D6649"/>
    <w:rsid w:val="0020429E"/>
    <w:rsid w:val="002316AC"/>
    <w:rsid w:val="00237948"/>
    <w:rsid w:val="00242F90"/>
    <w:rsid w:val="00246776"/>
    <w:rsid w:val="0025127C"/>
    <w:rsid w:val="00260A68"/>
    <w:rsid w:val="00277D72"/>
    <w:rsid w:val="00282EB6"/>
    <w:rsid w:val="002C3B14"/>
    <w:rsid w:val="002C730F"/>
    <w:rsid w:val="002E0A4C"/>
    <w:rsid w:val="003022EE"/>
    <w:rsid w:val="0030335F"/>
    <w:rsid w:val="00317636"/>
    <w:rsid w:val="00320372"/>
    <w:rsid w:val="00324A30"/>
    <w:rsid w:val="00345524"/>
    <w:rsid w:val="003910AB"/>
    <w:rsid w:val="003A6DE0"/>
    <w:rsid w:val="003A6F1E"/>
    <w:rsid w:val="003B0306"/>
    <w:rsid w:val="003C09E6"/>
    <w:rsid w:val="003C4529"/>
    <w:rsid w:val="003D4E4A"/>
    <w:rsid w:val="003E1C15"/>
    <w:rsid w:val="003F67DC"/>
    <w:rsid w:val="00404044"/>
    <w:rsid w:val="004101AD"/>
    <w:rsid w:val="004216A1"/>
    <w:rsid w:val="00434B2A"/>
    <w:rsid w:val="00444976"/>
    <w:rsid w:val="004455C7"/>
    <w:rsid w:val="004615AE"/>
    <w:rsid w:val="00466C23"/>
    <w:rsid w:val="00472B6F"/>
    <w:rsid w:val="004767B0"/>
    <w:rsid w:val="00493461"/>
    <w:rsid w:val="004974F8"/>
    <w:rsid w:val="004A1ED3"/>
    <w:rsid w:val="004B247D"/>
    <w:rsid w:val="004C0C85"/>
    <w:rsid w:val="004C547B"/>
    <w:rsid w:val="004D341B"/>
    <w:rsid w:val="004D3714"/>
    <w:rsid w:val="004E28F9"/>
    <w:rsid w:val="004F09D7"/>
    <w:rsid w:val="004F19FF"/>
    <w:rsid w:val="004F4212"/>
    <w:rsid w:val="00515A1D"/>
    <w:rsid w:val="005316D6"/>
    <w:rsid w:val="00533400"/>
    <w:rsid w:val="00573450"/>
    <w:rsid w:val="00574DA6"/>
    <w:rsid w:val="00583F76"/>
    <w:rsid w:val="005B0C65"/>
    <w:rsid w:val="005C27B7"/>
    <w:rsid w:val="005C6B48"/>
    <w:rsid w:val="005D6332"/>
    <w:rsid w:val="005E26A3"/>
    <w:rsid w:val="005F58C7"/>
    <w:rsid w:val="0060024D"/>
    <w:rsid w:val="006055CF"/>
    <w:rsid w:val="00605A2A"/>
    <w:rsid w:val="00612BE6"/>
    <w:rsid w:val="00622D39"/>
    <w:rsid w:val="006339B2"/>
    <w:rsid w:val="00647E87"/>
    <w:rsid w:val="00655B79"/>
    <w:rsid w:val="00661684"/>
    <w:rsid w:val="00666D3E"/>
    <w:rsid w:val="0067075A"/>
    <w:rsid w:val="00670E41"/>
    <w:rsid w:val="00672A15"/>
    <w:rsid w:val="00673238"/>
    <w:rsid w:val="00680126"/>
    <w:rsid w:val="00681327"/>
    <w:rsid w:val="00687A21"/>
    <w:rsid w:val="006A0764"/>
    <w:rsid w:val="006A37D6"/>
    <w:rsid w:val="006D3E5A"/>
    <w:rsid w:val="006D6919"/>
    <w:rsid w:val="006E0248"/>
    <w:rsid w:val="006E0310"/>
    <w:rsid w:val="006E0BA2"/>
    <w:rsid w:val="00706DCA"/>
    <w:rsid w:val="007232CF"/>
    <w:rsid w:val="00731860"/>
    <w:rsid w:val="0073377A"/>
    <w:rsid w:val="0073709D"/>
    <w:rsid w:val="00745D25"/>
    <w:rsid w:val="00773989"/>
    <w:rsid w:val="00776CA4"/>
    <w:rsid w:val="00790D3C"/>
    <w:rsid w:val="007A1763"/>
    <w:rsid w:val="007B7B43"/>
    <w:rsid w:val="007C3A4B"/>
    <w:rsid w:val="007C6416"/>
    <w:rsid w:val="007E252C"/>
    <w:rsid w:val="008147DC"/>
    <w:rsid w:val="008247D1"/>
    <w:rsid w:val="00825C57"/>
    <w:rsid w:val="00827E56"/>
    <w:rsid w:val="00853A66"/>
    <w:rsid w:val="00871B2B"/>
    <w:rsid w:val="0087744A"/>
    <w:rsid w:val="008A44FF"/>
    <w:rsid w:val="008B7084"/>
    <w:rsid w:val="008C7A3C"/>
    <w:rsid w:val="008E236B"/>
    <w:rsid w:val="00907D96"/>
    <w:rsid w:val="00910AC8"/>
    <w:rsid w:val="00913EA4"/>
    <w:rsid w:val="00921979"/>
    <w:rsid w:val="00934281"/>
    <w:rsid w:val="00950F34"/>
    <w:rsid w:val="009628C3"/>
    <w:rsid w:val="00962924"/>
    <w:rsid w:val="00987D6B"/>
    <w:rsid w:val="00991961"/>
    <w:rsid w:val="00996753"/>
    <w:rsid w:val="009A2C0C"/>
    <w:rsid w:val="009A6807"/>
    <w:rsid w:val="009B5A2F"/>
    <w:rsid w:val="009B72B7"/>
    <w:rsid w:val="009C114F"/>
    <w:rsid w:val="009C23BC"/>
    <w:rsid w:val="009D781A"/>
    <w:rsid w:val="009E0594"/>
    <w:rsid w:val="009F3E8B"/>
    <w:rsid w:val="00A0558B"/>
    <w:rsid w:val="00A07B8C"/>
    <w:rsid w:val="00A137CB"/>
    <w:rsid w:val="00A162A1"/>
    <w:rsid w:val="00A22AE1"/>
    <w:rsid w:val="00A260AE"/>
    <w:rsid w:val="00A26F55"/>
    <w:rsid w:val="00A51091"/>
    <w:rsid w:val="00A55551"/>
    <w:rsid w:val="00A71D1B"/>
    <w:rsid w:val="00A72C13"/>
    <w:rsid w:val="00A7396E"/>
    <w:rsid w:val="00A74EAC"/>
    <w:rsid w:val="00A76A85"/>
    <w:rsid w:val="00A832AB"/>
    <w:rsid w:val="00A912C4"/>
    <w:rsid w:val="00A962FB"/>
    <w:rsid w:val="00AB55DB"/>
    <w:rsid w:val="00AD16C2"/>
    <w:rsid w:val="00AD726C"/>
    <w:rsid w:val="00AD7853"/>
    <w:rsid w:val="00AE5D29"/>
    <w:rsid w:val="00B079C1"/>
    <w:rsid w:val="00B22E7D"/>
    <w:rsid w:val="00B317FF"/>
    <w:rsid w:val="00B31E27"/>
    <w:rsid w:val="00B43567"/>
    <w:rsid w:val="00B4708B"/>
    <w:rsid w:val="00B75BA8"/>
    <w:rsid w:val="00B90DC6"/>
    <w:rsid w:val="00B91E69"/>
    <w:rsid w:val="00B96159"/>
    <w:rsid w:val="00BA6FF0"/>
    <w:rsid w:val="00BA75DA"/>
    <w:rsid w:val="00BC1063"/>
    <w:rsid w:val="00BC391C"/>
    <w:rsid w:val="00BE4048"/>
    <w:rsid w:val="00BF54D4"/>
    <w:rsid w:val="00C06494"/>
    <w:rsid w:val="00C162B0"/>
    <w:rsid w:val="00C177FB"/>
    <w:rsid w:val="00C2222E"/>
    <w:rsid w:val="00C31D8D"/>
    <w:rsid w:val="00C32F61"/>
    <w:rsid w:val="00C336C3"/>
    <w:rsid w:val="00C428DF"/>
    <w:rsid w:val="00C90A5E"/>
    <w:rsid w:val="00CA1D3E"/>
    <w:rsid w:val="00CA7812"/>
    <w:rsid w:val="00CE11BE"/>
    <w:rsid w:val="00CF3FCE"/>
    <w:rsid w:val="00D0787F"/>
    <w:rsid w:val="00D15443"/>
    <w:rsid w:val="00D16B58"/>
    <w:rsid w:val="00D514BE"/>
    <w:rsid w:val="00D85D16"/>
    <w:rsid w:val="00D94C22"/>
    <w:rsid w:val="00D96CBA"/>
    <w:rsid w:val="00DB0F99"/>
    <w:rsid w:val="00DC3D57"/>
    <w:rsid w:val="00DE1BCA"/>
    <w:rsid w:val="00E01509"/>
    <w:rsid w:val="00E465C8"/>
    <w:rsid w:val="00E52552"/>
    <w:rsid w:val="00E74CB0"/>
    <w:rsid w:val="00E75EC6"/>
    <w:rsid w:val="00E83558"/>
    <w:rsid w:val="00E85D80"/>
    <w:rsid w:val="00E913EB"/>
    <w:rsid w:val="00EA1A39"/>
    <w:rsid w:val="00EA52AA"/>
    <w:rsid w:val="00EB2640"/>
    <w:rsid w:val="00EC036E"/>
    <w:rsid w:val="00ED0F5C"/>
    <w:rsid w:val="00ED27EF"/>
    <w:rsid w:val="00EF2993"/>
    <w:rsid w:val="00F141ED"/>
    <w:rsid w:val="00F30E51"/>
    <w:rsid w:val="00F57C44"/>
    <w:rsid w:val="00F71EFB"/>
    <w:rsid w:val="00F91020"/>
    <w:rsid w:val="00F9590B"/>
    <w:rsid w:val="00FB01A2"/>
    <w:rsid w:val="00FB43D3"/>
    <w:rsid w:val="00FB500A"/>
    <w:rsid w:val="00FE147D"/>
    <w:rsid w:val="00FE61C4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84876"/>
  <w15:docId w15:val="{DCC75769-96D9-494B-BF42-568052E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4C0C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7D"/>
  </w:style>
  <w:style w:type="paragraph" w:styleId="Footer">
    <w:name w:val="footer"/>
    <w:basedOn w:val="Normal"/>
    <w:link w:val="Foot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7D"/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C85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apple-converted-space">
    <w:name w:val="apple-converted-space"/>
    <w:basedOn w:val="DefaultParagraphFont"/>
    <w:rsid w:val="004C0C85"/>
  </w:style>
  <w:style w:type="character" w:styleId="Hyperlink">
    <w:name w:val="Hyperlink"/>
    <w:basedOn w:val="DefaultParagraphFont"/>
    <w:uiPriority w:val="99"/>
    <w:unhideWhenUsed/>
    <w:rsid w:val="004C0C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A1A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2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6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54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NormalWeb">
    <w:name w:val="Normal (Web)"/>
    <w:basedOn w:val="Normal"/>
    <w:uiPriority w:val="99"/>
    <w:semiHidden/>
    <w:unhideWhenUsed/>
    <w:rsid w:val="00A962FB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CA7812"/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812"/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Desktop/W%20To%20Do:Pending/New%20Visual%20Identity/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G Document" ma:contentTypeID="0x010100AB2B133976D3534DB263426CA205655A00B07F999FB2980C4A898407BF41328D9F" ma:contentTypeVersion="7" ma:contentTypeDescription="" ma:contentTypeScope="" ma:versionID="06a31e827454e5035f2ab076c4eb8238">
  <xsd:schema xmlns:xsd="http://www.w3.org/2001/XMLSchema" xmlns:xs="http://www.w3.org/2001/XMLSchema" xmlns:p="http://schemas.microsoft.com/office/2006/metadata/properties" xmlns:ns2="47ae01cf-5eab-4f71-81c3-4bcb0a029785" xmlns:ns3="735eeb13-47b0-4f7e-9a38-605dfa23e887" targetNamespace="http://schemas.microsoft.com/office/2006/metadata/properties" ma:root="true" ma:fieldsID="2d070421072266236b63f662f1c6d962" ns2:_="" ns3:_="">
    <xsd:import namespace="47ae01cf-5eab-4f71-81c3-4bcb0a029785"/>
    <xsd:import namespace="735eeb13-47b0-4f7e-9a38-605dfa23e887"/>
    <xsd:element name="properties">
      <xsd:complexType>
        <xsd:sequence>
          <xsd:element name="documentManagement">
            <xsd:complexType>
              <xsd:all>
                <xsd:element ref="ns2:Resource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e01cf-5eab-4f71-81c3-4bcb0a029785" elementFormDefault="qualified">
    <xsd:import namespace="http://schemas.microsoft.com/office/2006/documentManagement/types"/>
    <xsd:import namespace="http://schemas.microsoft.com/office/infopath/2007/PartnerControls"/>
    <xsd:element name="Resource" ma:index="2" ma:displayName="Resource" ma:format="Dropdown" ma:internalName="Resource">
      <xsd:simpleType>
        <xsd:restriction base="dms:Choice">
          <xsd:enumeration value="Templates"/>
          <xsd:enumeration value="Standards and guides"/>
          <xsd:enumeration value="Resources"/>
          <xsd:enumeration value="Forms"/>
          <xsd:enumeration value="Minutes"/>
          <xsd:enumeration value="Emergency communications"/>
          <xsd:enumeration value="Public engagement"/>
          <xsd:enumeration value="Visual identity"/>
          <xsd:enumeration value="Proces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cfdceeba-3824-4ef0-a539-72993dabc4b6}" ma:internalName="TaxCatchAll" ma:showField="CatchAllData" ma:web="ff217692-ecbd-4428-980b-9f729ec1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description="" ma:hidden="true" ma:list="{cfdceeba-3824-4ef0-a539-72993dabc4b6}" ma:internalName="TaxCatchAllLabel" ma:readOnly="true" ma:showField="CatchAllDataLabel" ma:web="ff217692-ecbd-4428-980b-9f729ec1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eeb13-47b0-4f7e-9a38-605dfa23e887"/>
    <Resource xmlns="47ae01cf-5eab-4f71-81c3-4bcb0a029785">Visual identity</Resourc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1dbc130-9a09-4654-95c9-933da96cfe25" ContentTypeId="0x010100AB2B133976D3534DB263426CA205655A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529EA-A2C2-4C02-8D65-B2DEC05C964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47AD9F5-680F-4052-964C-0C9323BF03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E22650-4D75-4790-8335-91B6B0CF1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e01cf-5eab-4f71-81c3-4bcb0a029785"/>
    <ds:schemaRef ds:uri="735eeb13-47b0-4f7e-9a38-605dfa23e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CDFF4-DEA2-450C-9531-6F0795060122}">
  <ds:schemaRefs>
    <ds:schemaRef ds:uri="http://schemas.microsoft.com/office/2006/metadata/properties"/>
    <ds:schemaRef ds:uri="http://schemas.microsoft.com/office/infopath/2007/PartnerControls"/>
    <ds:schemaRef ds:uri="735eeb13-47b0-4f7e-9a38-605dfa23e887"/>
    <ds:schemaRef ds:uri="47ae01cf-5eab-4f71-81c3-4bcb0a029785"/>
  </ds:schemaRefs>
</ds:datastoreItem>
</file>

<file path=customXml/itemProps5.xml><?xml version="1.0" encoding="utf-8"?>
<ds:datastoreItem xmlns:ds="http://schemas.openxmlformats.org/officeDocument/2006/customXml" ds:itemID="{77735805-7307-42C9-A414-E8B4685E59A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BB172B-ECC3-4274-93C3-F09E473A98C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527296F-EE53-D142-A621-2ECF459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colour.dotx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colour</vt:lpstr>
    </vt:vector>
  </TitlesOfParts>
  <Company>Government of Yukon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colour</dc:title>
  <dc:creator>Microsoft Office User</dc:creator>
  <cp:lastModifiedBy>Michael Snider</cp:lastModifiedBy>
  <cp:revision>2</cp:revision>
  <cp:lastPrinted>2019-06-10T08:44:00Z</cp:lastPrinted>
  <dcterms:created xsi:type="dcterms:W3CDTF">2019-11-13T20:31:00Z</dcterms:created>
  <dcterms:modified xsi:type="dcterms:W3CDTF">2019-11-13T20:31:00Z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0x010100AB2B133976D3534DB263426CA205655A00B07F999FB2980C4A898407BF41328D9F</vt:lpwstr>
  </property>
</Properties>
</file>