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8B" w:rsidRPr="00ED654B" w:rsidRDefault="00873F8B" w:rsidP="00EA38A8">
      <w:pPr>
        <w:rPr>
          <w:rFonts w:ascii="Nunito Sans" w:hAnsi="Nunito Sans"/>
          <w:b/>
          <w:sz w:val="20"/>
        </w:rPr>
      </w:pPr>
      <w:r w:rsidRPr="00ED654B">
        <w:rPr>
          <w:rFonts w:ascii="Nunito Sans" w:hAnsi="Nunito Sans"/>
          <w:b/>
          <w:sz w:val="20"/>
        </w:rPr>
        <w:t>A</w:t>
      </w:r>
      <w:r w:rsidR="008C686B" w:rsidRPr="00ED654B">
        <w:rPr>
          <w:rFonts w:ascii="Nunito Sans" w:hAnsi="Nunito Sans"/>
          <w:b/>
          <w:sz w:val="20"/>
        </w:rPr>
        <w:t>pplication Form for Grades K – 10</w:t>
      </w:r>
    </w:p>
    <w:p w:rsidR="00873F8B" w:rsidRPr="00ED654B" w:rsidRDefault="00873F8B" w:rsidP="00EA38A8">
      <w:pPr>
        <w:rPr>
          <w:rFonts w:ascii="Nunito Sans" w:hAnsi="Nunito Sans"/>
          <w:b/>
          <w:sz w:val="20"/>
        </w:rPr>
      </w:pPr>
      <w:r w:rsidRPr="00ED654B">
        <w:rPr>
          <w:rFonts w:ascii="Nunito Sans" w:hAnsi="Nunito Sans"/>
          <w:b/>
          <w:sz w:val="20"/>
        </w:rPr>
        <w:t>Projects, presentations, ma</w:t>
      </w:r>
      <w:r w:rsidR="00704834" w:rsidRPr="00ED654B">
        <w:rPr>
          <w:rFonts w:ascii="Nunito Sans" w:hAnsi="Nunito Sans"/>
          <w:b/>
          <w:sz w:val="20"/>
        </w:rPr>
        <w:t>terials and resources in Yukon s</w:t>
      </w:r>
      <w:r w:rsidRPr="00ED654B">
        <w:rPr>
          <w:rFonts w:ascii="Nunito Sans" w:hAnsi="Nunito Sans"/>
          <w:b/>
          <w:sz w:val="20"/>
        </w:rPr>
        <w:t>chools</w:t>
      </w:r>
    </w:p>
    <w:p w:rsidR="00873F8B" w:rsidRPr="00ED654B" w:rsidRDefault="00873F8B" w:rsidP="00EA38A8">
      <w:pPr>
        <w:rPr>
          <w:rFonts w:ascii="Nunito Sans" w:hAnsi="Nunito Sans"/>
          <w:b/>
          <w:sz w:val="20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620"/>
        <w:gridCol w:w="3255"/>
        <w:gridCol w:w="3076"/>
      </w:tblGrid>
      <w:tr w:rsidR="00873F8B" w:rsidRPr="00ED654B" w:rsidTr="00975240">
        <w:trPr>
          <w:trHeight w:val="539"/>
        </w:trPr>
        <w:tc>
          <w:tcPr>
            <w:tcW w:w="9926" w:type="dxa"/>
            <w:gridSpan w:val="5"/>
            <w:shd w:val="clear" w:color="auto" w:fill="FFFFFF" w:themeFill="background1"/>
          </w:tcPr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Application for: Projects, Presentations __</w:t>
            </w:r>
            <w:r w:rsidR="00FA344B" w:rsidRPr="00ED654B">
              <w:rPr>
                <w:rFonts w:ascii="Nunito Sans" w:hAnsi="Nunito Sans" w:cs="Arial"/>
                <w:sz w:val="20"/>
              </w:rPr>
              <w:t>X</w:t>
            </w:r>
            <w:r w:rsidRPr="00ED654B">
              <w:rPr>
                <w:rFonts w:ascii="Nunito Sans" w:hAnsi="Nunito Sans" w:cs="Arial"/>
                <w:sz w:val="20"/>
              </w:rPr>
              <w:t>___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Resources, Materials _____</w:t>
            </w:r>
          </w:p>
        </w:tc>
      </w:tr>
      <w:tr w:rsidR="00873F8B" w:rsidRPr="00ED654B" w:rsidTr="00975240">
        <w:trPr>
          <w:trHeight w:val="2523"/>
        </w:trPr>
        <w:tc>
          <w:tcPr>
            <w:tcW w:w="9926" w:type="dxa"/>
            <w:gridSpan w:val="5"/>
          </w:tcPr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Agency/Department: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Health Promotion Unit, Health and Social Services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Date of Submission: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April 26, 2019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Contact Name: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Adria Collins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Phone Number: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867-667-8394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Email: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</w:t>
            </w:r>
            <w:hyperlink r:id="rId5" w:history="1">
              <w:r w:rsidR="00FA344B" w:rsidRPr="00ED654B">
                <w:rPr>
                  <w:rStyle w:val="Hyperlink"/>
                  <w:rFonts w:ascii="Nunito Sans" w:hAnsi="Nunito Sans" w:cs="Arial"/>
                  <w:sz w:val="20"/>
                </w:rPr>
                <w:t>adria.collins@gov.yk.ca</w:t>
              </w:r>
            </w:hyperlink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873F8B" w:rsidRPr="00ED654B" w:rsidTr="00975240">
        <w:tc>
          <w:tcPr>
            <w:tcW w:w="9926" w:type="dxa"/>
            <w:gridSpan w:val="5"/>
          </w:tcPr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Request initiated by: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Adria Collins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873F8B" w:rsidRPr="00ED654B" w:rsidTr="00975240">
        <w:tc>
          <w:tcPr>
            <w:tcW w:w="9926" w:type="dxa"/>
            <w:gridSpan w:val="5"/>
          </w:tcPr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Title of project, presentation, resource or material:</w:t>
            </w:r>
            <w:r w:rsidR="00FA344B" w:rsidRPr="00ED654B">
              <w:rPr>
                <w:rFonts w:ascii="Nunito Sans" w:hAnsi="Nunito Sans" w:cs="Arial"/>
                <w:sz w:val="20"/>
              </w:rPr>
              <w:t xml:space="preserve"> Let’s Talk Pot (cannabis education), Vaping, </w:t>
            </w:r>
            <w:proofErr w:type="spellStart"/>
            <w:r w:rsidR="00FA344B" w:rsidRPr="00ED654B">
              <w:rPr>
                <w:rFonts w:ascii="Nunito Sans" w:hAnsi="Nunito Sans" w:cs="Arial"/>
                <w:sz w:val="20"/>
              </w:rPr>
              <w:t>Kickin</w:t>
            </w:r>
            <w:proofErr w:type="spellEnd"/>
            <w:r w:rsidR="00FA344B" w:rsidRPr="00ED654B">
              <w:rPr>
                <w:rFonts w:ascii="Nunito Sans" w:hAnsi="Nunito Sans" w:cs="Arial"/>
                <w:sz w:val="20"/>
              </w:rPr>
              <w:t>’ Ash, Sexual Health Education, Nutrition education</w:t>
            </w:r>
            <w:r w:rsidR="00344071" w:rsidRPr="00ED654B">
              <w:rPr>
                <w:rFonts w:ascii="Nunito Sans" w:hAnsi="Nunito Sans" w:cs="Arial"/>
                <w:sz w:val="20"/>
              </w:rPr>
              <w:t xml:space="preserve">. </w:t>
            </w:r>
          </w:p>
          <w:p w:rsidR="00873F8B" w:rsidRPr="00ED654B" w:rsidRDefault="00873F8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873F8B" w:rsidRPr="00ED654B" w:rsidTr="005728DB">
        <w:trPr>
          <w:trHeight w:val="188"/>
        </w:trPr>
        <w:tc>
          <w:tcPr>
            <w:tcW w:w="805" w:type="dxa"/>
          </w:tcPr>
          <w:p w:rsidR="00873F8B" w:rsidRPr="00ED654B" w:rsidRDefault="00873F8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Grade</w:t>
            </w:r>
          </w:p>
        </w:tc>
        <w:tc>
          <w:tcPr>
            <w:tcW w:w="1170" w:type="dxa"/>
          </w:tcPr>
          <w:p w:rsidR="00873F8B" w:rsidRPr="00ED654B" w:rsidRDefault="00E70F4A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hyperlink r:id="rId6" w:history="1">
              <w:r w:rsidR="00873F8B" w:rsidRPr="00ED654B">
                <w:rPr>
                  <w:rStyle w:val="Hyperlink"/>
                  <w:rFonts w:ascii="Nunito Sans" w:hAnsi="Nunito Sans" w:cs="Arial"/>
                  <w:sz w:val="20"/>
                </w:rPr>
                <w:t>Subject</w:t>
              </w:r>
            </w:hyperlink>
          </w:p>
        </w:tc>
        <w:tc>
          <w:tcPr>
            <w:tcW w:w="1620" w:type="dxa"/>
          </w:tcPr>
          <w:p w:rsidR="00873F8B" w:rsidRPr="00ED654B" w:rsidRDefault="00873F8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Big Ideas</w:t>
            </w:r>
          </w:p>
        </w:tc>
        <w:tc>
          <w:tcPr>
            <w:tcW w:w="3255" w:type="dxa"/>
            <w:shd w:val="clear" w:color="auto" w:fill="auto"/>
          </w:tcPr>
          <w:p w:rsidR="00873F8B" w:rsidRPr="00ED654B" w:rsidRDefault="00873F8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Curricular Competencies</w:t>
            </w:r>
          </w:p>
        </w:tc>
        <w:tc>
          <w:tcPr>
            <w:tcW w:w="3076" w:type="dxa"/>
            <w:shd w:val="clear" w:color="auto" w:fill="auto"/>
          </w:tcPr>
          <w:p w:rsidR="00873F8B" w:rsidRPr="00ED654B" w:rsidRDefault="00873F8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Content</w:t>
            </w:r>
          </w:p>
          <w:p w:rsidR="00873F8B" w:rsidRPr="00ED654B" w:rsidRDefault="00873F8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ED654B" w:rsidRPr="00ED654B" w:rsidTr="005728DB">
        <w:trPr>
          <w:trHeight w:val="174"/>
        </w:trPr>
        <w:tc>
          <w:tcPr>
            <w:tcW w:w="805" w:type="dxa"/>
          </w:tcPr>
          <w:p w:rsidR="00ED654B" w:rsidRPr="00ED654B" w:rsidRDefault="00ED654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K-3</w:t>
            </w:r>
          </w:p>
          <w:p w:rsidR="00ED654B" w:rsidRPr="00ED654B" w:rsidRDefault="00ED654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1170" w:type="dxa"/>
          </w:tcPr>
          <w:p w:rsidR="00ED654B" w:rsidRPr="00ED654B" w:rsidRDefault="00ED654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Physical and Health Education</w:t>
            </w:r>
          </w:p>
        </w:tc>
        <w:tc>
          <w:tcPr>
            <w:tcW w:w="1620" w:type="dxa"/>
          </w:tcPr>
          <w:p w:rsidR="00ED654B" w:rsidRPr="00ED654B" w:rsidRDefault="00ED654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  <w:lang w:val="en-CA"/>
              </w:rPr>
            </w:pPr>
            <w:r w:rsidRPr="00ED654B">
              <w:rPr>
                <w:rFonts w:ascii="Nunito Sans" w:hAnsi="Nunito Sans" w:cs="Arial"/>
                <w:sz w:val="20"/>
                <w:lang w:val="en-CA"/>
              </w:rPr>
              <w:t>Healthy choices influence our physical, emotional, and mental well-being.</w:t>
            </w:r>
          </w:p>
          <w:p w:rsidR="00ED654B" w:rsidRPr="00ED654B" w:rsidRDefault="00ED654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 xml:space="preserve">Names for body parts, practices that promote health and well-being, appropriate and inappropriate touch. </w:t>
            </w:r>
          </w:p>
          <w:p w:rsidR="003051A6" w:rsidRPr="00ED654B" w:rsidRDefault="003051A6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EA38A8" w:rsidRPr="00EA38A8" w:rsidRDefault="00EA38A8" w:rsidP="00EA38A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EA38A8">
              <w:rPr>
                <w:rFonts w:ascii="Nunito Sans" w:hAnsi="Nunito Sans"/>
                <w:sz w:val="20"/>
                <w:szCs w:val="20"/>
              </w:rPr>
              <w:t>relationships between food, hydration, and health</w:t>
            </w:r>
          </w:p>
          <w:p w:rsidR="00EA38A8" w:rsidRPr="00575D8D" w:rsidRDefault="00EA38A8" w:rsidP="00EA38A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EA38A8">
              <w:rPr>
                <w:rFonts w:ascii="Nunito Sans" w:hAnsi="Nunito Sans"/>
                <w:color w:val="auto"/>
                <w:sz w:val="20"/>
                <w:szCs w:val="20"/>
              </w:rPr>
              <w:t>practices</w:t>
            </w:r>
            <w:r w:rsidRPr="00EA38A8">
              <w:rPr>
                <w:rFonts w:ascii="Nunito Sans" w:hAnsi="Nunito Sans"/>
                <w:color w:val="auto"/>
                <w:sz w:val="20"/>
                <w:szCs w:val="20"/>
              </w:rPr>
              <w:t xml:space="preserve"> </w:t>
            </w:r>
            <w:r w:rsidRPr="00EA38A8">
              <w:rPr>
                <w:rFonts w:ascii="Nunito Sans" w:hAnsi="Nunito Sans" w:cs="Arial"/>
                <w:color w:val="auto"/>
                <w:sz w:val="20"/>
                <w:szCs w:val="20"/>
              </w:rPr>
              <w:t xml:space="preserve">that promote health </w:t>
            </w:r>
            <w:r w:rsidRPr="00575D8D">
              <w:rPr>
                <w:rFonts w:ascii="Nunito Sans" w:hAnsi="Nunito Sans"/>
                <w:sz w:val="20"/>
                <w:szCs w:val="20"/>
              </w:rPr>
              <w:t>and well-being</w:t>
            </w:r>
          </w:p>
          <w:p w:rsidR="00EA38A8" w:rsidRPr="00EA38A8" w:rsidRDefault="00EA38A8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EA38A8">
              <w:rPr>
                <w:rFonts w:ascii="Nunito Sans" w:hAnsi="Nunito Sans"/>
                <w:sz w:val="20"/>
                <w:szCs w:val="20"/>
              </w:rPr>
              <w:t>names for parts of the body, including male and female private parts </w:t>
            </w:r>
          </w:p>
          <w:p w:rsidR="00EA38A8" w:rsidRPr="00EA38A8" w:rsidRDefault="00EA38A8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EA38A8">
              <w:rPr>
                <w:rFonts w:ascii="Nunito Sans" w:hAnsi="Nunito Sans"/>
                <w:sz w:val="20"/>
                <w:szCs w:val="20"/>
              </w:rPr>
              <w:t>appropriate and inappropriate ways of being touched</w:t>
            </w:r>
          </w:p>
          <w:p w:rsidR="00EA38A8" w:rsidRPr="00575D8D" w:rsidRDefault="00EA38A8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EA38A8">
              <w:rPr>
                <w:rFonts w:ascii="Nunito Sans" w:hAnsi="Nunito Sans"/>
                <w:sz w:val="20"/>
                <w:szCs w:val="20"/>
              </w:rPr>
              <w:t>different types of substances</w:t>
            </w:r>
          </w:p>
        </w:tc>
      </w:tr>
      <w:tr w:rsidR="005728DB" w:rsidRPr="00ED654B" w:rsidTr="005728DB">
        <w:trPr>
          <w:trHeight w:val="174"/>
        </w:trPr>
        <w:tc>
          <w:tcPr>
            <w:tcW w:w="805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4-5</w:t>
            </w:r>
          </w:p>
        </w:tc>
        <w:tc>
          <w:tcPr>
            <w:tcW w:w="1170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Physical and Health Education</w:t>
            </w:r>
          </w:p>
        </w:tc>
        <w:tc>
          <w:tcPr>
            <w:tcW w:w="1620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  <w:lang w:val="en-CA"/>
              </w:rPr>
            </w:pPr>
            <w:r w:rsidRPr="00ED654B">
              <w:rPr>
                <w:rFonts w:ascii="Nunito Sans" w:hAnsi="Nunito Sans" w:cs="Arial"/>
                <w:sz w:val="20"/>
                <w:lang w:val="en-CA"/>
              </w:rPr>
              <w:t>Healthy choices influence our physical, emotional, and mental well-being.</w:t>
            </w:r>
          </w:p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5728D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/>
                <w:color w:val="000000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</w:rPr>
              <w:t>M</w:t>
            </w:r>
            <w:r w:rsidRPr="00ED654B">
              <w:rPr>
                <w:rFonts w:ascii="Nunito Sans" w:hAnsi="Nunito Sans"/>
                <w:color w:val="000000"/>
                <w:sz w:val="20"/>
              </w:rPr>
              <w:t>anaging problems related to mental well-being and substance use, understanding the potential effects and harms of psychoactive substances such as cannabis and strategies for preventing personal harms.</w:t>
            </w:r>
          </w:p>
          <w:p w:rsidR="005728DB" w:rsidRPr="005728DB" w:rsidRDefault="005728DB" w:rsidP="00EA38A8">
            <w:pPr>
              <w:tabs>
                <w:tab w:val="num" w:pos="720"/>
              </w:tabs>
              <w:rPr>
                <w:rFonts w:ascii="Nunito Sans" w:hAnsi="Nunito Sans"/>
                <w:color w:val="000000"/>
                <w:sz w:val="20"/>
              </w:rPr>
            </w:pPr>
            <w:r w:rsidRPr="005728DB">
              <w:rPr>
                <w:rFonts w:ascii="Nunito Sans" w:hAnsi="Nunito Sans"/>
                <w:color w:val="000000"/>
                <w:sz w:val="20"/>
              </w:rPr>
              <w:t xml:space="preserve">Physical, emotional, and social changes that occur during puberty, including those involving sexuality and sexual identity and changes to relationships </w:t>
            </w:r>
          </w:p>
          <w:p w:rsidR="005728D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/>
                <w:color w:val="000000"/>
                <w:sz w:val="20"/>
              </w:rPr>
            </w:pPr>
          </w:p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sources of health information and support services</w:t>
            </w:r>
          </w:p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strategies to protect themselves and others from potential abuse, exploitation, and harm in a variety of settings</w:t>
            </w:r>
          </w:p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factors influencing use of psychoactive substances, and potential harms</w:t>
            </w:r>
          </w:p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physical, emotional, and social changes that occur during puberty, including those involving sexuality</w:t>
            </w:r>
            <w:r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Pr="00575D8D">
              <w:rPr>
                <w:rFonts w:ascii="Nunito Sans" w:hAnsi="Nunito Sans"/>
                <w:sz w:val="20"/>
                <w:szCs w:val="20"/>
              </w:rPr>
              <w:t>and sexual identity, and changes to relationships</w:t>
            </w:r>
          </w:p>
          <w:p w:rsidR="005728DB" w:rsidRPr="00575D8D" w:rsidRDefault="005728DB" w:rsidP="00575D8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/>
                <w:sz w:val="20"/>
              </w:rPr>
            </w:pPr>
          </w:p>
        </w:tc>
      </w:tr>
      <w:tr w:rsidR="005728DB" w:rsidRPr="00ED654B" w:rsidTr="005728DB">
        <w:trPr>
          <w:trHeight w:val="174"/>
        </w:trPr>
        <w:tc>
          <w:tcPr>
            <w:tcW w:w="805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6-7</w:t>
            </w:r>
          </w:p>
        </w:tc>
        <w:tc>
          <w:tcPr>
            <w:tcW w:w="1170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Physical and Health Education</w:t>
            </w:r>
          </w:p>
        </w:tc>
        <w:tc>
          <w:tcPr>
            <w:tcW w:w="1620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  <w:lang w:val="en-CA"/>
              </w:rPr>
            </w:pPr>
            <w:r w:rsidRPr="00ED654B">
              <w:rPr>
                <w:rFonts w:ascii="Nunito Sans" w:hAnsi="Nunito Sans" w:cs="Arial"/>
                <w:sz w:val="20"/>
                <w:lang w:val="en-CA"/>
              </w:rPr>
              <w:t>Healthy choices influence our physical, emotional, and mental well-being.</w:t>
            </w:r>
          </w:p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5728DB" w:rsidRDefault="00FE3285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/>
                <w:color w:val="000000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</w:rPr>
              <w:t>S</w:t>
            </w:r>
            <w:r w:rsidR="005728DB" w:rsidRPr="005728DB">
              <w:rPr>
                <w:rFonts w:ascii="Nunito Sans" w:hAnsi="Nunito Sans"/>
                <w:color w:val="000000"/>
                <w:sz w:val="20"/>
              </w:rPr>
              <w:t xml:space="preserve">trategies for managing personal and social risks related to psychoactive substances and potentially addictive </w:t>
            </w:r>
            <w:proofErr w:type="spellStart"/>
            <w:r w:rsidR="005728DB" w:rsidRPr="005728DB">
              <w:rPr>
                <w:rFonts w:ascii="Nunito Sans" w:hAnsi="Nunito Sans"/>
                <w:color w:val="000000"/>
                <w:sz w:val="20"/>
              </w:rPr>
              <w:t>behaviours</w:t>
            </w:r>
            <w:proofErr w:type="spellEnd"/>
            <w:r w:rsidR="005728DB" w:rsidRPr="005728DB">
              <w:rPr>
                <w:rFonts w:ascii="Nunito Sans" w:hAnsi="Nunito Sans"/>
                <w:color w:val="000000"/>
                <w:sz w:val="20"/>
              </w:rPr>
              <w:t>.</w:t>
            </w:r>
            <w:r w:rsidR="005728DB">
              <w:rPr>
                <w:rFonts w:ascii="Nunito Sans" w:hAnsi="Nunito Sans"/>
                <w:color w:val="000000"/>
                <w:sz w:val="20"/>
              </w:rPr>
              <w:t xml:space="preserve"> </w:t>
            </w:r>
          </w:p>
          <w:p w:rsidR="00FE3285" w:rsidRPr="005728DB" w:rsidRDefault="00FE3285" w:rsidP="00EA38A8">
            <w:pPr>
              <w:tabs>
                <w:tab w:val="num" w:pos="720"/>
              </w:tabs>
              <w:rPr>
                <w:rFonts w:ascii="Nunito Sans" w:hAnsi="Nunito Sans"/>
                <w:color w:val="000000"/>
                <w:sz w:val="20"/>
              </w:rPr>
            </w:pPr>
            <w:r w:rsidRPr="005728DB">
              <w:rPr>
                <w:rFonts w:ascii="Nunito Sans" w:hAnsi="Nunito Sans"/>
                <w:color w:val="000000"/>
                <w:sz w:val="20"/>
              </w:rPr>
              <w:t xml:space="preserve">Physical, emotional, and social changes that occur during puberty, including those involving sexuality and sexual identity and changes to relationships </w:t>
            </w:r>
          </w:p>
          <w:p w:rsidR="00FE3285" w:rsidRPr="005728DB" w:rsidRDefault="00FE3285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/>
                <w:color w:val="000000"/>
                <w:sz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5728DB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 xml:space="preserve">influences </w:t>
            </w:r>
            <w:r w:rsidR="005728DB" w:rsidRPr="00575D8D">
              <w:rPr>
                <w:rFonts w:ascii="Nunito Sans" w:hAnsi="Nunito Sans"/>
                <w:sz w:val="20"/>
                <w:szCs w:val="20"/>
              </w:rPr>
              <w:t>of physical, emotional, and social changes on identities and relationships</w:t>
            </w:r>
          </w:p>
          <w:p w:rsidR="005728DB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factors that influence personal eating choices</w:t>
            </w:r>
          </w:p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practices that reduce the risk of contracting sexually transmitted infections and life-threatening communicable diseases</w:t>
            </w:r>
          </w:p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sources of health information</w:t>
            </w:r>
          </w:p>
        </w:tc>
      </w:tr>
      <w:tr w:rsidR="005728DB" w:rsidRPr="00ED654B" w:rsidTr="005728DB">
        <w:trPr>
          <w:trHeight w:val="174"/>
        </w:trPr>
        <w:tc>
          <w:tcPr>
            <w:tcW w:w="805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8-10</w:t>
            </w:r>
          </w:p>
        </w:tc>
        <w:tc>
          <w:tcPr>
            <w:tcW w:w="1170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Physical and Health Education</w:t>
            </w:r>
          </w:p>
        </w:tc>
        <w:tc>
          <w:tcPr>
            <w:tcW w:w="1620" w:type="dxa"/>
          </w:tcPr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  <w:lang w:val="en-CA"/>
              </w:rPr>
            </w:pPr>
            <w:r w:rsidRPr="00ED654B">
              <w:rPr>
                <w:rFonts w:ascii="Nunito Sans" w:hAnsi="Nunito Sans" w:cs="Arial"/>
                <w:sz w:val="20"/>
                <w:lang w:val="en-CA"/>
              </w:rPr>
              <w:t>Healthy choices influence our physical, emotional, and mental well-being.</w:t>
            </w:r>
          </w:p>
          <w:p w:rsidR="005728DB" w:rsidRPr="00ED654B" w:rsidRDefault="005728DB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5728DB" w:rsidRPr="00ED654B" w:rsidRDefault="00FE3285" w:rsidP="00EA38A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/>
                <w:color w:val="000000"/>
                <w:sz w:val="20"/>
              </w:rPr>
              <w:t>H</w:t>
            </w:r>
            <w:r w:rsidR="005728DB" w:rsidRPr="005728DB">
              <w:rPr>
                <w:rFonts w:ascii="Nunito Sans" w:hAnsi="Nunito Sans"/>
                <w:color w:val="000000"/>
                <w:sz w:val="20"/>
              </w:rPr>
              <w:t>ealthy choices and their influence on physical, emotional and mental well-being, managing problems related to mental well-being and substance use and how advocating for mental health and well-being of others connects students to the community.</w:t>
            </w:r>
            <w:r>
              <w:rPr>
                <w:rFonts w:ascii="Nunito Sans" w:hAnsi="Nunito Sans"/>
                <w:color w:val="000000"/>
                <w:sz w:val="20"/>
              </w:rPr>
              <w:br/>
              <w:t xml:space="preserve">Sexual </w:t>
            </w:r>
            <w:proofErr w:type="gramStart"/>
            <w:r>
              <w:rPr>
                <w:rFonts w:ascii="Nunito Sans" w:hAnsi="Nunito Sans"/>
                <w:color w:val="000000"/>
                <w:sz w:val="20"/>
              </w:rPr>
              <w:t>decision making</w:t>
            </w:r>
            <w:proofErr w:type="gramEnd"/>
            <w:r>
              <w:rPr>
                <w:rFonts w:ascii="Nunito Sans" w:hAnsi="Nunito Sans"/>
                <w:color w:val="000000"/>
                <w:sz w:val="20"/>
              </w:rPr>
              <w:t xml:space="preserve"> and sources of health information. </w:t>
            </w:r>
          </w:p>
        </w:tc>
        <w:tc>
          <w:tcPr>
            <w:tcW w:w="3076" w:type="dxa"/>
            <w:shd w:val="clear" w:color="auto" w:fill="auto"/>
          </w:tcPr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healthy sexual decision making</w:t>
            </w:r>
          </w:p>
          <w:p w:rsidR="00575D8D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potential short- and long-term consequences of health decisions, including those involving physical activity, healthy eating, sleep routines, and technology</w:t>
            </w:r>
          </w:p>
          <w:p w:rsidR="005728DB" w:rsidRPr="00575D8D" w:rsidRDefault="00575D8D" w:rsidP="00575D8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20"/>
              </w:tabs>
              <w:autoSpaceDE w:val="0"/>
              <w:autoSpaceDN w:val="0"/>
              <w:adjustRightInd w:val="0"/>
              <w:spacing w:line="240" w:lineRule="auto"/>
              <w:ind w:left="241" w:hanging="180"/>
              <w:rPr>
                <w:rFonts w:ascii="Nunito Sans" w:hAnsi="Nunito Sans"/>
                <w:sz w:val="20"/>
                <w:szCs w:val="20"/>
              </w:rPr>
            </w:pPr>
            <w:r w:rsidRPr="00575D8D">
              <w:rPr>
                <w:rFonts w:ascii="Nunito Sans" w:hAnsi="Nunito Sans"/>
                <w:sz w:val="20"/>
                <w:szCs w:val="20"/>
              </w:rPr>
              <w:t>sources of health information</w:t>
            </w:r>
          </w:p>
        </w:tc>
      </w:tr>
      <w:tr w:rsidR="005728DB" w:rsidRPr="00ED654B" w:rsidTr="00975240">
        <w:tc>
          <w:tcPr>
            <w:tcW w:w="9926" w:type="dxa"/>
            <w:gridSpan w:val="5"/>
          </w:tcPr>
          <w:p w:rsidR="00FE3285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How will this presentation, project, resource or material enhance Yukon schools?</w:t>
            </w:r>
            <w:r w:rsidR="00FE3285">
              <w:rPr>
                <w:rFonts w:ascii="Nunito Sans" w:hAnsi="Nunito Sans" w:cs="Arial"/>
                <w:sz w:val="20"/>
              </w:rPr>
              <w:t xml:space="preserve"> </w:t>
            </w:r>
          </w:p>
          <w:p w:rsidR="003643F9" w:rsidRDefault="003643F9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  <w:p w:rsidR="003643F9" w:rsidRDefault="003643F9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 xml:space="preserve">The Health Promotion Unit, we offer: </w:t>
            </w:r>
          </w:p>
          <w:p w:rsidR="005728DB" w:rsidRDefault="003643F9" w:rsidP="00EA38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>Comprehensive sexual health education</w:t>
            </w:r>
            <w:r w:rsidR="002D7E95">
              <w:rPr>
                <w:rFonts w:ascii="Nunito Sans" w:hAnsi="Nunito Sans" w:cs="Arial"/>
                <w:sz w:val="20"/>
              </w:rPr>
              <w:t>, delivered by Certified Sexual Health Educators,</w:t>
            </w:r>
            <w:r>
              <w:rPr>
                <w:rFonts w:ascii="Nunito Sans" w:hAnsi="Nunito Sans" w:cs="Arial"/>
                <w:sz w:val="20"/>
              </w:rPr>
              <w:t xml:space="preserve"> for all ages, genders, and sexualities. </w:t>
            </w:r>
            <w:r w:rsidR="002D7E95">
              <w:rPr>
                <w:rFonts w:ascii="Nunito Sans" w:hAnsi="Nunito Sans" w:cs="Arial"/>
                <w:sz w:val="20"/>
              </w:rPr>
              <w:t xml:space="preserve">Our sexual health program follows the best practices set by Health Canada and the World Health Organization. </w:t>
            </w:r>
          </w:p>
          <w:p w:rsidR="003643F9" w:rsidRDefault="003643F9" w:rsidP="00EA38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>Nutrition education from a community</w:t>
            </w:r>
            <w:r w:rsidR="00C323E0">
              <w:rPr>
                <w:rFonts w:ascii="Nunito Sans" w:hAnsi="Nunito Sans" w:cs="Arial"/>
                <w:sz w:val="20"/>
              </w:rPr>
              <w:t xml:space="preserve"> Dietit</w:t>
            </w:r>
            <w:r>
              <w:rPr>
                <w:rFonts w:ascii="Nunito Sans" w:hAnsi="Nunito Sans" w:cs="Arial"/>
                <w:sz w:val="20"/>
              </w:rPr>
              <w:t>ia</w:t>
            </w:r>
            <w:r w:rsidR="00C323E0">
              <w:rPr>
                <w:rFonts w:ascii="Nunito Sans" w:hAnsi="Nunito Sans" w:cs="Arial"/>
                <w:sz w:val="20"/>
              </w:rPr>
              <w:t xml:space="preserve">n that includes food literacy, hands on food skills, and interactive nutrition activities. </w:t>
            </w:r>
          </w:p>
          <w:p w:rsidR="003643F9" w:rsidRDefault="003643F9" w:rsidP="00EA38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 xml:space="preserve">Cannabis education presentation and resources, which incorporates basic facts, health impacts, decision-making, laws, lower risk use guidelines and interactive activities. </w:t>
            </w:r>
          </w:p>
          <w:p w:rsidR="003643F9" w:rsidRDefault="003643F9" w:rsidP="00EA38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 xml:space="preserve">Vaping education presentations that take a closer look at marketing, media and the potential health impacts of these products. </w:t>
            </w:r>
          </w:p>
          <w:p w:rsidR="003643F9" w:rsidRDefault="003643F9" w:rsidP="00EA38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hAnsi="Nunito Sans" w:cs="Arial"/>
                <w:sz w:val="20"/>
              </w:rPr>
            </w:pPr>
            <w:proofErr w:type="spellStart"/>
            <w:r>
              <w:rPr>
                <w:rFonts w:ascii="Nunito Sans" w:hAnsi="Nunito Sans" w:cs="Arial"/>
                <w:sz w:val="20"/>
              </w:rPr>
              <w:t>Kickin</w:t>
            </w:r>
            <w:proofErr w:type="spellEnd"/>
            <w:r>
              <w:rPr>
                <w:rFonts w:ascii="Nunito Sans" w:hAnsi="Nunito Sans" w:cs="Arial"/>
                <w:sz w:val="20"/>
              </w:rPr>
              <w:t>’ Ash re</w:t>
            </w:r>
            <w:r w:rsidR="00C323E0">
              <w:rPr>
                <w:rFonts w:ascii="Nunito Sans" w:hAnsi="Nunito Sans" w:cs="Arial"/>
                <w:sz w:val="20"/>
              </w:rPr>
              <w:t xml:space="preserve">source and presentation that focuses on youth tobacco prevention while exploring Big Tobacco, media, and health impacts. </w:t>
            </w:r>
          </w:p>
          <w:p w:rsidR="003643F9" w:rsidRPr="003643F9" w:rsidRDefault="003643F9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>
              <w:rPr>
                <w:rFonts w:ascii="Nunito Sans" w:hAnsi="Nunito Sans" w:cs="Arial"/>
                <w:sz w:val="20"/>
              </w:rPr>
              <w:t xml:space="preserve">This information </w:t>
            </w:r>
            <w:proofErr w:type="gramStart"/>
            <w:r w:rsidR="00C323E0">
              <w:rPr>
                <w:rFonts w:ascii="Nunito Sans" w:hAnsi="Nunito Sans" w:cs="Arial"/>
                <w:sz w:val="20"/>
              </w:rPr>
              <w:t>has been created</w:t>
            </w:r>
            <w:proofErr w:type="gramEnd"/>
            <w:r w:rsidR="00C323E0">
              <w:rPr>
                <w:rFonts w:ascii="Nunito Sans" w:hAnsi="Nunito Sans" w:cs="Arial"/>
                <w:sz w:val="20"/>
              </w:rPr>
              <w:t xml:space="preserve"> to fit the curriculum guidelines and requirements. </w:t>
            </w:r>
            <w:r w:rsidR="003051A6">
              <w:rPr>
                <w:rFonts w:ascii="Nunito Sans" w:hAnsi="Nunito Sans" w:cs="Arial"/>
                <w:sz w:val="20"/>
              </w:rPr>
              <w:t>Our aim is</w:t>
            </w:r>
            <w:r w:rsidR="00C323E0">
              <w:rPr>
                <w:rFonts w:ascii="Nunito Sans" w:hAnsi="Nunito Sans" w:cs="Arial"/>
                <w:sz w:val="20"/>
              </w:rPr>
              <w:t xml:space="preserve"> to support teachers and community group organizations in educating </w:t>
            </w:r>
            <w:r w:rsidR="003051A6">
              <w:rPr>
                <w:rFonts w:ascii="Nunito Sans" w:hAnsi="Nunito Sans" w:cs="Arial"/>
                <w:sz w:val="20"/>
              </w:rPr>
              <w:t xml:space="preserve">young people on these subjects by making the information accessible, engaging and appealing to teachers, facilitators and youth. </w:t>
            </w:r>
          </w:p>
        </w:tc>
      </w:tr>
      <w:tr w:rsidR="005728DB" w:rsidRPr="00ED654B" w:rsidTr="00975240">
        <w:tc>
          <w:tcPr>
            <w:tcW w:w="9926" w:type="dxa"/>
            <w:gridSpan w:val="5"/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Please list and attach any professional review of this work.</w:t>
            </w:r>
            <w:r w:rsidRPr="00ED654B">
              <w:rPr>
                <w:rFonts w:ascii="Nunito Sans" w:hAnsi="Nunito Sans" w:cs="Arial"/>
                <w:sz w:val="20"/>
              </w:rPr>
              <w:br/>
            </w:r>
            <w:proofErr w:type="gramStart"/>
            <w:r w:rsidRPr="00ED654B">
              <w:rPr>
                <w:rFonts w:ascii="Nunito Sans" w:hAnsi="Nunito Sans" w:cs="Arial"/>
                <w:sz w:val="20"/>
              </w:rPr>
              <w:t>Sexual health education is delivered by two educators that have been certified to teach</w:t>
            </w:r>
            <w:proofErr w:type="gramEnd"/>
            <w:r w:rsidRPr="00ED654B">
              <w:rPr>
                <w:rFonts w:ascii="Nunito Sans" w:hAnsi="Nunito Sans" w:cs="Arial"/>
                <w:sz w:val="20"/>
              </w:rPr>
              <w:t xml:space="preserve"> sexual health education. </w:t>
            </w:r>
            <w:r w:rsidRPr="00ED654B">
              <w:rPr>
                <w:rFonts w:ascii="Nunito Sans" w:hAnsi="Nunito Sans" w:cs="Arial"/>
                <w:sz w:val="20"/>
              </w:rPr>
              <w:br/>
            </w:r>
            <w:proofErr w:type="spellStart"/>
            <w:r w:rsidRPr="00ED654B">
              <w:rPr>
                <w:rFonts w:ascii="Nunito Sans" w:hAnsi="Nunito Sans" w:cs="Arial"/>
                <w:sz w:val="20"/>
              </w:rPr>
              <w:t>Kickin</w:t>
            </w:r>
            <w:proofErr w:type="spellEnd"/>
            <w:r w:rsidRPr="00ED654B">
              <w:rPr>
                <w:rFonts w:ascii="Nunito Sans" w:hAnsi="Nunito Sans" w:cs="Arial"/>
                <w:sz w:val="20"/>
              </w:rPr>
              <w:t xml:space="preserve">’ Ash, Let’s Talk Pot and Vaping presentations </w:t>
            </w:r>
            <w:proofErr w:type="gramStart"/>
            <w:r w:rsidRPr="00ED654B">
              <w:rPr>
                <w:rFonts w:ascii="Nunito Sans" w:hAnsi="Nunito Sans" w:cs="Arial"/>
                <w:sz w:val="20"/>
              </w:rPr>
              <w:t>were all developed by a team of health workers and educators and vetted by Health and Social Services Communications team</w:t>
            </w:r>
            <w:proofErr w:type="gramEnd"/>
            <w:r w:rsidRPr="00ED654B">
              <w:rPr>
                <w:rFonts w:ascii="Nunito Sans" w:hAnsi="Nunito Sans" w:cs="Arial"/>
                <w:sz w:val="20"/>
              </w:rPr>
              <w:t xml:space="preserve">. 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 xml:space="preserve">Nutrition workshops developed and facilitated by the Community Dietitian. 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5728DB" w:rsidRPr="00ED654B" w:rsidTr="00975240"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 xml:space="preserve">Any additional information that you would like to supply </w:t>
            </w:r>
            <w:proofErr w:type="gramStart"/>
            <w:r w:rsidRPr="00ED654B">
              <w:rPr>
                <w:rFonts w:ascii="Nunito Sans" w:hAnsi="Nunito Sans" w:cs="Arial"/>
                <w:sz w:val="20"/>
              </w:rPr>
              <w:t>should be provided</w:t>
            </w:r>
            <w:proofErr w:type="gramEnd"/>
            <w:r w:rsidRPr="00ED654B">
              <w:rPr>
                <w:rFonts w:ascii="Nunito Sans" w:hAnsi="Nunito Sans" w:cs="Arial"/>
                <w:sz w:val="20"/>
              </w:rPr>
              <w:t xml:space="preserve"> on separate pages.</w:t>
            </w:r>
          </w:p>
        </w:tc>
      </w:tr>
      <w:tr w:rsidR="005728DB" w:rsidRPr="00ED654B" w:rsidTr="00975240">
        <w:tc>
          <w:tcPr>
            <w:tcW w:w="9926" w:type="dxa"/>
            <w:gridSpan w:val="5"/>
            <w:shd w:val="clear" w:color="auto" w:fill="FFFFFF" w:themeFill="background1"/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 xml:space="preserve">Forward application to the Project Approval Committee: </w:t>
            </w:r>
            <w:hyperlink r:id="rId7" w:history="1">
              <w:r w:rsidRPr="00ED654B">
                <w:rPr>
                  <w:rStyle w:val="Hyperlink"/>
                  <w:rFonts w:ascii="Nunito Sans" w:hAnsi="Nunito Sans"/>
                  <w:sz w:val="20"/>
                  <w:lang w:val="en-CA"/>
                </w:rPr>
                <w:t>curriculum@gov.yk.ca</w:t>
              </w:r>
            </w:hyperlink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5728DB" w:rsidRPr="00ED654B" w:rsidTr="00975240">
        <w:tc>
          <w:tcPr>
            <w:tcW w:w="9926" w:type="dxa"/>
            <w:gridSpan w:val="5"/>
            <w:shd w:val="clear" w:color="auto" w:fill="D9D9D9" w:themeFill="background1" w:themeFillShade="D9"/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Department Resource Committee Review Date: _____________________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5728DB" w:rsidRPr="00ED654B" w:rsidTr="00975240">
        <w:tc>
          <w:tcPr>
            <w:tcW w:w="9926" w:type="dxa"/>
            <w:gridSpan w:val="5"/>
            <w:shd w:val="clear" w:color="auto" w:fill="D9D9D9" w:themeFill="background1" w:themeFillShade="D9"/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>Approved: Yes _____              No _____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 xml:space="preserve">Reasons if application is declined: 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5728DB" w:rsidRPr="00ED654B" w:rsidTr="00975240">
        <w:tc>
          <w:tcPr>
            <w:tcW w:w="9926" w:type="dxa"/>
            <w:gridSpan w:val="5"/>
            <w:shd w:val="clear" w:color="auto" w:fill="D9D9D9" w:themeFill="background1" w:themeFillShade="D9"/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 xml:space="preserve">Approved for: 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  <w:tr w:rsidR="005728DB" w:rsidRPr="00ED654B" w:rsidTr="00975240">
        <w:tc>
          <w:tcPr>
            <w:tcW w:w="9926" w:type="dxa"/>
            <w:gridSpan w:val="5"/>
            <w:shd w:val="clear" w:color="auto" w:fill="D9D9D9" w:themeFill="background1" w:themeFillShade="D9"/>
          </w:tcPr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  <w:r w:rsidRPr="00ED654B">
              <w:rPr>
                <w:rFonts w:ascii="Nunito Sans" w:hAnsi="Nunito Sans" w:cs="Arial"/>
                <w:sz w:val="20"/>
              </w:rPr>
              <w:t xml:space="preserve">Restrictions, if any: </w:t>
            </w:r>
          </w:p>
          <w:p w:rsidR="005728DB" w:rsidRPr="00ED654B" w:rsidRDefault="005728DB" w:rsidP="00EA38A8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0"/>
              </w:rPr>
            </w:pPr>
          </w:p>
        </w:tc>
      </w:tr>
    </w:tbl>
    <w:p w:rsidR="003B10F2" w:rsidRPr="00ED654B" w:rsidRDefault="003B10F2" w:rsidP="00EA38A8">
      <w:pPr>
        <w:rPr>
          <w:rFonts w:ascii="Nunito Sans" w:hAnsi="Nunito Sans"/>
          <w:sz w:val="20"/>
        </w:rPr>
      </w:pPr>
    </w:p>
    <w:p w:rsidR="005728DB" w:rsidRPr="00ED654B" w:rsidRDefault="005728DB" w:rsidP="00EA38A8">
      <w:pPr>
        <w:rPr>
          <w:rFonts w:ascii="Nunito Sans" w:hAnsi="Nunito Sans"/>
          <w:sz w:val="20"/>
        </w:rPr>
      </w:pPr>
    </w:p>
    <w:sectPr w:rsidR="005728DB" w:rsidRPr="00ED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3AA"/>
    <w:multiLevelType w:val="hybridMultilevel"/>
    <w:tmpl w:val="34BEB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533D4"/>
    <w:multiLevelType w:val="multilevel"/>
    <w:tmpl w:val="1DAA6A3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61247FD1"/>
    <w:multiLevelType w:val="hybridMultilevel"/>
    <w:tmpl w:val="81263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B"/>
    <w:rsid w:val="000142FE"/>
    <w:rsid w:val="002D7E95"/>
    <w:rsid w:val="003051A6"/>
    <w:rsid w:val="00344071"/>
    <w:rsid w:val="003601E9"/>
    <w:rsid w:val="003643F9"/>
    <w:rsid w:val="003B10F2"/>
    <w:rsid w:val="004F4F24"/>
    <w:rsid w:val="005728DB"/>
    <w:rsid w:val="00575D8D"/>
    <w:rsid w:val="00704834"/>
    <w:rsid w:val="00873F8B"/>
    <w:rsid w:val="008C686B"/>
    <w:rsid w:val="0095100E"/>
    <w:rsid w:val="00975240"/>
    <w:rsid w:val="00B704DD"/>
    <w:rsid w:val="00C323E0"/>
    <w:rsid w:val="00EA38A8"/>
    <w:rsid w:val="00ED654B"/>
    <w:rsid w:val="00FA344B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CC37"/>
  <w15:chartTrackingRefBased/>
  <w15:docId w15:val="{5D37BBDA-48A7-4DCD-9309-77CE002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  <w:style w:type="paragraph" w:styleId="ListParagraph">
    <w:name w:val="List Paragraph"/>
    <w:rsid w:val="005728DB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8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2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8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1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8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6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4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gov.y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" TargetMode="External"/><Relationship Id="rId5" Type="http://schemas.openxmlformats.org/officeDocument/2006/relationships/hyperlink" Target="mailto:adria.collins@gov.yk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Adria.Collins</cp:lastModifiedBy>
  <cp:revision>2</cp:revision>
  <dcterms:created xsi:type="dcterms:W3CDTF">2019-05-23T21:04:00Z</dcterms:created>
  <dcterms:modified xsi:type="dcterms:W3CDTF">2019-05-23T21:04:00Z</dcterms:modified>
</cp:coreProperties>
</file>