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Y="391"/>
        <w:tblW w:w="23035" w:type="dxa"/>
        <w:tblLook w:val="0600" w:firstRow="0" w:lastRow="0" w:firstColumn="0" w:lastColumn="0" w:noHBand="1" w:noVBand="1"/>
      </w:tblPr>
      <w:tblGrid>
        <w:gridCol w:w="843"/>
        <w:gridCol w:w="2257"/>
        <w:gridCol w:w="2257"/>
        <w:gridCol w:w="2257"/>
        <w:gridCol w:w="2257"/>
        <w:gridCol w:w="2256"/>
        <w:gridCol w:w="2257"/>
        <w:gridCol w:w="2258"/>
        <w:gridCol w:w="2078"/>
        <w:gridCol w:w="2247"/>
        <w:gridCol w:w="2068"/>
      </w:tblGrid>
      <w:tr w:rsidR="00BD4FCF" w:rsidRPr="00DD50C6" w14:paraId="161563AB" w14:textId="7763B272" w:rsidTr="00336F52">
        <w:trPr>
          <w:trHeight w:val="174"/>
        </w:trPr>
        <w:tc>
          <w:tcPr>
            <w:tcW w:w="843" w:type="dxa"/>
          </w:tcPr>
          <w:p w14:paraId="2BB04B5B" w14:textId="77777777" w:rsidR="00BD4FCF" w:rsidRPr="00DD50C6" w:rsidRDefault="00BD4FCF" w:rsidP="00D03F57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  <w:tc>
          <w:tcPr>
            <w:tcW w:w="2257" w:type="dxa"/>
          </w:tcPr>
          <w:p w14:paraId="25479983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257" w:type="dxa"/>
          </w:tcPr>
          <w:p w14:paraId="46D8EA97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257" w:type="dxa"/>
          </w:tcPr>
          <w:p w14:paraId="0AAC7EF2" w14:textId="16BF0798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257" w:type="dxa"/>
          </w:tcPr>
          <w:p w14:paraId="168EC675" w14:textId="115C43B1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256" w:type="dxa"/>
          </w:tcPr>
          <w:p w14:paraId="7E60475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257" w:type="dxa"/>
          </w:tcPr>
          <w:p w14:paraId="4E9E212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58" w:type="dxa"/>
          </w:tcPr>
          <w:p w14:paraId="236AF73D" w14:textId="549C2BBE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078" w:type="dxa"/>
          </w:tcPr>
          <w:p w14:paraId="7DC1FD0A" w14:textId="004AC19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247" w:type="dxa"/>
          </w:tcPr>
          <w:p w14:paraId="77A377BC" w14:textId="16E3E452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2068" w:type="dxa"/>
          </w:tcPr>
          <w:p w14:paraId="46C1C3AA" w14:textId="0062EC70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BD4FCF" w:rsidRPr="00DD50C6" w14:paraId="01B85DFF" w14:textId="127C1B2A" w:rsidTr="00336F52">
        <w:trPr>
          <w:cantSplit/>
          <w:trHeight w:val="1358"/>
        </w:trPr>
        <w:tc>
          <w:tcPr>
            <w:tcW w:w="843" w:type="dxa"/>
            <w:textDirection w:val="btLr"/>
          </w:tcPr>
          <w:p w14:paraId="4D9D547D" w14:textId="25B2DC7B" w:rsidR="00BD4FCF" w:rsidRPr="00DD50C6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Numbers</w:t>
            </w:r>
          </w:p>
        </w:tc>
        <w:tc>
          <w:tcPr>
            <w:tcW w:w="2257" w:type="dxa"/>
          </w:tcPr>
          <w:p w14:paraId="2B1A2304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</w:t>
            </w:r>
          </w:p>
          <w:p w14:paraId="1ECE8895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Ways to make 5</w:t>
            </w:r>
          </w:p>
          <w:p w14:paraId="27BF102F" w14:textId="5622C5CC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5EDE3539" w14:textId="173A4729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20</w:t>
            </w:r>
          </w:p>
          <w:p w14:paraId="0DACAD91" w14:textId="78CE8994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Ways to make 10</w:t>
            </w:r>
          </w:p>
          <w:p w14:paraId="67DCAD91" w14:textId="126F7A32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1A8BA91" w14:textId="41915E84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100</w:t>
            </w:r>
          </w:p>
          <w:p w14:paraId="710A3739" w14:textId="50542132" w:rsidR="00BD4FCF" w:rsidRPr="00250B4B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i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Benchmarks of 25, 50, and 100 and personal referent</w:t>
            </w:r>
            <w:r w:rsidR="00250B4B">
              <w:rPr>
                <w:rFonts w:asciiTheme="majorHAnsi" w:hAnsiTheme="majorHAnsi"/>
                <w:sz w:val="15"/>
                <w:szCs w:val="15"/>
              </w:rPr>
              <w:t>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(</w:t>
            </w:r>
            <w:proofErr w:type="spellStart"/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ie</w:t>
            </w:r>
            <w:proofErr w:type="spellEnd"/>
            <w:r w:rsidRPr="00250B4B">
              <w:rPr>
                <w:rFonts w:asciiTheme="majorHAnsi" w:hAnsiTheme="majorHAnsi"/>
                <w:i/>
                <w:sz w:val="15"/>
                <w:szCs w:val="15"/>
              </w:rPr>
              <w:t>: thumb = 1 inch)</w:t>
            </w:r>
          </w:p>
          <w:p w14:paraId="60D84D5A" w14:textId="77777777" w:rsidR="00BD4FCF" w:rsidRPr="00A82453" w:rsidRDefault="00BD4FCF" w:rsidP="00A82453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17FB935B" w14:textId="3572DC05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9EB0D95" w14:textId="7048D5EE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1000</w:t>
            </w:r>
          </w:p>
          <w:p w14:paraId="3544078B" w14:textId="0DE2318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Fraction concepts</w:t>
            </w:r>
          </w:p>
          <w:p w14:paraId="2950D151" w14:textId="1CBA62F4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6" w:type="dxa"/>
          </w:tcPr>
          <w:p w14:paraId="46960E69" w14:textId="3A982E25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10 000</w:t>
            </w:r>
          </w:p>
          <w:p w14:paraId="05B3A10C" w14:textId="59E8A2CF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Decimals to hundredths</w:t>
            </w:r>
          </w:p>
          <w:p w14:paraId="4CBAC5A0" w14:textId="4037542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Ordering and comparing fractions</w:t>
            </w:r>
          </w:p>
          <w:p w14:paraId="1C7AE04D" w14:textId="7D28AE79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71B2E390" w14:textId="765ED61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Number concepts to 1 000 000</w:t>
            </w:r>
          </w:p>
          <w:p w14:paraId="76D10A8A" w14:textId="7097D7AD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Decimals to thousandths</w:t>
            </w:r>
          </w:p>
          <w:p w14:paraId="4C8E3A75" w14:textId="7387546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Equivalent fractions</w:t>
            </w:r>
          </w:p>
          <w:p w14:paraId="29BDE709" w14:textId="3481F203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Whole-number, fraction, and decimal benchmarks</w:t>
            </w:r>
          </w:p>
          <w:p w14:paraId="30FBB594" w14:textId="67E9532C" w:rsidR="00BD4FCF" w:rsidRPr="00A82453" w:rsidRDefault="00BD4FCF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8" w:type="dxa"/>
          </w:tcPr>
          <w:p w14:paraId="2A3ACA49" w14:textId="2C6F2D09" w:rsidR="0001413F" w:rsidRDefault="0001413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Small to large numbers (thousandths to billions)</w:t>
            </w:r>
          </w:p>
          <w:p w14:paraId="7C2FBAA8" w14:textId="77777777" w:rsidR="00BD4FCF" w:rsidRDefault="00BD4FCF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Improper fractions and mixed numbers</w:t>
            </w:r>
          </w:p>
          <w:p w14:paraId="68902B2E" w14:textId="77777777" w:rsidR="000A44FE" w:rsidRDefault="000A44FE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Introduction to ratios</w:t>
            </w:r>
          </w:p>
          <w:p w14:paraId="4371ACCE" w14:textId="06CD6D4B" w:rsidR="000A44FE" w:rsidRPr="000A44FE" w:rsidRDefault="000A44FE" w:rsidP="000A44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Whole number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percentage discounts</w:t>
            </w:r>
          </w:p>
        </w:tc>
        <w:tc>
          <w:tcPr>
            <w:tcW w:w="2078" w:type="dxa"/>
          </w:tcPr>
          <w:p w14:paraId="45BD1416" w14:textId="76210300" w:rsidR="00BD4FCF" w:rsidRPr="005205AD" w:rsidRDefault="00BD4FCF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Relationship between decimals, fractions, and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</w:p>
        </w:tc>
        <w:tc>
          <w:tcPr>
            <w:tcW w:w="2247" w:type="dxa"/>
          </w:tcPr>
          <w:p w14:paraId="34610188" w14:textId="77777777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Perfect squares and cubes</w:t>
            </w:r>
          </w:p>
          <w:p w14:paraId="456C9F31" w14:textId="77777777" w:rsidR="005205AD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Square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 and cube roots</w:t>
            </w:r>
          </w:p>
          <w:p w14:paraId="48005C12" w14:textId="22098E68" w:rsidR="005621E2" w:rsidRPr="005621E2" w:rsidRDefault="005621E2" w:rsidP="005621E2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 xml:space="preserve"> less than 1 and greater than 100 (decimal and fractional 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percents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>)</w:t>
            </w:r>
          </w:p>
          <w:p w14:paraId="087FD56B" w14:textId="39B08F0C" w:rsidR="00BD4FCF" w:rsidRPr="00A82453" w:rsidRDefault="00BD4FCF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Pythagorean Theorem</w:t>
            </w:r>
          </w:p>
          <w:p w14:paraId="7A7A8625" w14:textId="5182941A" w:rsidR="00BD4FCF" w:rsidRPr="00A82453" w:rsidRDefault="00D56597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Numerical proportional reasoning (rates,</w:t>
            </w:r>
            <w:r w:rsidR="00BD4FCF" w:rsidRPr="00A82453">
              <w:rPr>
                <w:rFonts w:asciiTheme="majorHAnsi" w:hAnsiTheme="majorHAnsi"/>
                <w:sz w:val="15"/>
                <w:szCs w:val="15"/>
              </w:rPr>
              <w:t xml:space="preserve"> ratio, proportions, and percent</w:t>
            </w:r>
            <w:r>
              <w:rPr>
                <w:rFonts w:asciiTheme="majorHAnsi" w:hAnsiTheme="majorHAnsi"/>
                <w:sz w:val="15"/>
                <w:szCs w:val="15"/>
              </w:rPr>
              <w:t>)</w:t>
            </w:r>
          </w:p>
        </w:tc>
        <w:tc>
          <w:tcPr>
            <w:tcW w:w="2068" w:type="dxa"/>
          </w:tcPr>
          <w:p w14:paraId="3E2ADBE5" w14:textId="14FEDC7B" w:rsidR="00BD4FCF" w:rsidRPr="00A82453" w:rsidRDefault="005621E2" w:rsidP="00A82453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Exponent and exponent laws with whole-number exponents</w:t>
            </w:r>
          </w:p>
        </w:tc>
      </w:tr>
      <w:tr w:rsidR="00A13076" w:rsidRPr="00DD50C6" w14:paraId="359BA1CC" w14:textId="0D42BE88" w:rsidTr="00336F52">
        <w:trPr>
          <w:cantSplit/>
          <w:trHeight w:val="2102"/>
        </w:trPr>
        <w:tc>
          <w:tcPr>
            <w:tcW w:w="843" w:type="dxa"/>
            <w:vMerge w:val="restart"/>
            <w:textDirection w:val="btLr"/>
          </w:tcPr>
          <w:p w14:paraId="1392E8C8" w14:textId="732400DA" w:rsidR="00A13076" w:rsidRDefault="00A13076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Developing Computational Fluency</w:t>
            </w:r>
          </w:p>
        </w:tc>
        <w:tc>
          <w:tcPr>
            <w:tcW w:w="2257" w:type="dxa"/>
          </w:tcPr>
          <w:p w14:paraId="1E117748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Decomposition of numbers to 10</w:t>
            </w:r>
          </w:p>
          <w:p w14:paraId="05F8F137" w14:textId="564E5FFA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to 10 using concrete materials</w:t>
            </w:r>
          </w:p>
        </w:tc>
        <w:tc>
          <w:tcPr>
            <w:tcW w:w="2257" w:type="dxa"/>
          </w:tcPr>
          <w:p w14:paraId="348B4FB2" w14:textId="4C0DF779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to 20 (understanding of operation and process)</w:t>
            </w:r>
          </w:p>
          <w:p w14:paraId="3A4A7311" w14:textId="69B78E51" w:rsidR="00A13076" w:rsidRPr="00A82453" w:rsidRDefault="00A13076" w:rsidP="00250B4B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to 20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 concretely and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verbally</w:t>
            </w:r>
          </w:p>
        </w:tc>
        <w:tc>
          <w:tcPr>
            <w:tcW w:w="2257" w:type="dxa"/>
          </w:tcPr>
          <w:p w14:paraId="5892300E" w14:textId="100B607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 (introduction of computational strategies)</w:t>
            </w:r>
          </w:p>
          <w:p w14:paraId="2FF56AF0" w14:textId="7487F09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to 100</w:t>
            </w:r>
          </w:p>
          <w:p w14:paraId="552D33D5" w14:textId="20DDE4A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Change in quantity using pictorial and symbolic representation</w:t>
            </w:r>
          </w:p>
        </w:tc>
        <w:tc>
          <w:tcPr>
            <w:tcW w:w="2257" w:type="dxa"/>
          </w:tcPr>
          <w:p w14:paraId="368FF7AF" w14:textId="751F7150" w:rsidR="00A13076" w:rsidRPr="00A82453" w:rsidRDefault="00250B4B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Addition and subtraction</w:t>
            </w:r>
            <w:r w:rsidR="00A13076" w:rsidRPr="00A82453">
              <w:rPr>
                <w:rFonts w:asciiTheme="majorHAnsi" w:hAnsiTheme="majorHAnsi"/>
                <w:sz w:val="15"/>
                <w:szCs w:val="15"/>
              </w:rPr>
              <w:t xml:space="preserve"> to 1000</w:t>
            </w:r>
          </w:p>
          <w:p w14:paraId="0FA7D587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facts to 20 (emerging computational fluency) </w:t>
            </w:r>
          </w:p>
          <w:p w14:paraId="422A585B" w14:textId="09B9712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concepts</w:t>
            </w:r>
          </w:p>
        </w:tc>
        <w:tc>
          <w:tcPr>
            <w:tcW w:w="2256" w:type="dxa"/>
          </w:tcPr>
          <w:p w14:paraId="57360719" w14:textId="3830B7E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to </w:t>
            </w:r>
            <w:r w:rsidR="00BC441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10 000</w:t>
            </w:r>
          </w:p>
          <w:p w14:paraId="19495A9E" w14:textId="4B6A8A65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of two-or-three-digit numbers by one-digit numbers </w:t>
            </w:r>
          </w:p>
          <w:p w14:paraId="514C1C0F" w14:textId="1A06308E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of decimals to hundredths</w:t>
            </w:r>
          </w:p>
          <w:p w14:paraId="7A8178FF" w14:textId="40C6D816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(developing computational fluency)</w:t>
            </w:r>
          </w:p>
          <w:p w14:paraId="6D8C7D10" w14:textId="3751BC66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(introductory computational strategies)</w:t>
            </w:r>
          </w:p>
        </w:tc>
        <w:tc>
          <w:tcPr>
            <w:tcW w:w="2257" w:type="dxa"/>
          </w:tcPr>
          <w:p w14:paraId="07656AC2" w14:textId="7A42DC3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 of whole numbers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to</w:t>
            </w:r>
            <w:r w:rsidR="00BC441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1 000 000</w:t>
            </w:r>
          </w:p>
          <w:p w14:paraId="58BD3631" w14:textId="00DD5CC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to three-digits including division with remainders </w:t>
            </w:r>
          </w:p>
          <w:p w14:paraId="6DD4EBF6" w14:textId="2902C8EE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Addition and subtraction of decimals to thousandths </w:t>
            </w:r>
          </w:p>
          <w:p w14:paraId="1C6D275E" w14:textId="23A98B60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Addition and subtraction facts to 20 (extending computational fluency)</w:t>
            </w:r>
          </w:p>
          <w:p w14:paraId="41A6BF21" w14:textId="522138F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(emerging computational strategies)</w:t>
            </w:r>
          </w:p>
        </w:tc>
        <w:tc>
          <w:tcPr>
            <w:tcW w:w="2258" w:type="dxa"/>
          </w:tcPr>
          <w:p w14:paraId="6546B747" w14:textId="66BE19FB" w:rsidR="00A13076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Order of operations with whole numbers</w:t>
            </w:r>
          </w:p>
          <w:p w14:paraId="22193B9F" w14:textId="23CCEDD2" w:rsidR="000A44FE" w:rsidRPr="000A44FE" w:rsidRDefault="000A44FE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Factors and multiples, greatest common factor and least common multiple</w:t>
            </w:r>
          </w:p>
          <w:p w14:paraId="636932DD" w14:textId="67378F13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Multiplication and division of decimals </w:t>
            </w:r>
          </w:p>
          <w:p w14:paraId="34FF399E" w14:textId="540B682D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</w:t>
            </w:r>
            <w:r w:rsidR="0001413F">
              <w:rPr>
                <w:rFonts w:asciiTheme="majorHAnsi" w:hAnsiTheme="majorHAnsi"/>
                <w:sz w:val="15"/>
                <w:szCs w:val="15"/>
              </w:rPr>
              <w:t>ion and division facts to 100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(developing computational fluency)</w:t>
            </w:r>
          </w:p>
        </w:tc>
        <w:tc>
          <w:tcPr>
            <w:tcW w:w="2078" w:type="dxa"/>
          </w:tcPr>
          <w:p w14:paraId="5DB1FB56" w14:textId="77777777" w:rsidR="00A13076" w:rsidRDefault="00A13076" w:rsidP="00610892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integers (addition, subtraction, multiplication, division, and order of operations)</w:t>
            </w:r>
          </w:p>
          <w:p w14:paraId="1F7313CB" w14:textId="1D19C65F" w:rsidR="005205AD" w:rsidRPr="005205AD" w:rsidRDefault="005205AD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Operations with decimals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(addition, subtraction, multiplication, division, and order of operations)</w:t>
            </w:r>
          </w:p>
          <w:p w14:paraId="6F79FAE9" w14:textId="38A2D59C" w:rsidR="00610892" w:rsidRPr="005205AD" w:rsidRDefault="00A13076" w:rsidP="005205AD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Multiplication and division facts to 100 (extending computational fluency)</w:t>
            </w:r>
          </w:p>
        </w:tc>
        <w:tc>
          <w:tcPr>
            <w:tcW w:w="2247" w:type="dxa"/>
          </w:tcPr>
          <w:p w14:paraId="661D5F83" w14:textId="77777777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fractions (addition, subtraction, multiplication, division, and order of operations)</w:t>
            </w:r>
          </w:p>
          <w:p w14:paraId="47D980F7" w14:textId="412C3151" w:rsidR="00610892" w:rsidRPr="00D56597" w:rsidRDefault="003328F1" w:rsidP="00D56597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Numerical proportional reasoning</w:t>
            </w:r>
          </w:p>
        </w:tc>
        <w:tc>
          <w:tcPr>
            <w:tcW w:w="2068" w:type="dxa"/>
          </w:tcPr>
          <w:p w14:paraId="03BA90CF" w14:textId="7EDA3A63" w:rsidR="005621E2" w:rsidRPr="005621E2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52" w:hanging="15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rational numbers (addition, subtraction, multiplication, division and order of operations)</w:t>
            </w:r>
          </w:p>
          <w:p w14:paraId="54940ED1" w14:textId="5A7B4346" w:rsidR="003A5C37" w:rsidRPr="005621E2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Operations with polynomials, of degree less than or equal to two</w:t>
            </w:r>
          </w:p>
        </w:tc>
      </w:tr>
      <w:tr w:rsidR="00A13076" w:rsidRPr="00DD50C6" w14:paraId="2A6B132C" w14:textId="77777777" w:rsidTr="00336F52">
        <w:trPr>
          <w:cantSplit/>
          <w:trHeight w:val="1231"/>
        </w:trPr>
        <w:tc>
          <w:tcPr>
            <w:tcW w:w="843" w:type="dxa"/>
            <w:vMerge/>
            <w:textDirection w:val="btLr"/>
          </w:tcPr>
          <w:p w14:paraId="70EF5AB9" w14:textId="77777777" w:rsidR="00A13076" w:rsidRDefault="00A13076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7" w:type="dxa"/>
          </w:tcPr>
          <w:p w14:paraId="297863D8" w14:textId="569FAD62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attributes of coins and financial role-play</w:t>
            </w:r>
          </w:p>
        </w:tc>
        <w:tc>
          <w:tcPr>
            <w:tcW w:w="2257" w:type="dxa"/>
          </w:tcPr>
          <w:p w14:paraId="0A9B1A08" w14:textId="4B47F331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values of coins and monetary exchanges</w:t>
            </w:r>
          </w:p>
        </w:tc>
        <w:tc>
          <w:tcPr>
            <w:tcW w:w="2257" w:type="dxa"/>
          </w:tcPr>
          <w:p w14:paraId="7B426019" w14:textId="6720DA02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coin combinations to 100 cents, and spending and saving</w:t>
            </w:r>
          </w:p>
        </w:tc>
        <w:tc>
          <w:tcPr>
            <w:tcW w:w="2257" w:type="dxa"/>
          </w:tcPr>
          <w:p w14:paraId="3C6D8BF4" w14:textId="31AB7CB9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fluency with coins and bills to 100 dollars, and earning and payment</w:t>
            </w:r>
          </w:p>
        </w:tc>
        <w:tc>
          <w:tcPr>
            <w:tcW w:w="2256" w:type="dxa"/>
          </w:tcPr>
          <w:p w14:paraId="519EE6A2" w14:textId="580E03DB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monetary calculations, including making change with amounts to 100 dollars and making simple financial decisions</w:t>
            </w:r>
          </w:p>
        </w:tc>
        <w:tc>
          <w:tcPr>
            <w:tcW w:w="2257" w:type="dxa"/>
          </w:tcPr>
          <w:p w14:paraId="5802AA45" w14:textId="763639F1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monetary calculations, including making change with amounts to 1000 dollars and devel</w:t>
            </w:r>
            <w:r w:rsidR="00250B4B">
              <w:rPr>
                <w:rFonts w:asciiTheme="majorHAnsi" w:hAnsiTheme="majorHAnsi"/>
                <w:sz w:val="15"/>
                <w:szCs w:val="15"/>
              </w:rPr>
              <w:t>oping simple financial plans</w:t>
            </w:r>
          </w:p>
        </w:tc>
        <w:tc>
          <w:tcPr>
            <w:tcW w:w="2258" w:type="dxa"/>
          </w:tcPr>
          <w:p w14:paraId="794AF59A" w14:textId="6188F26F" w:rsidR="00A13076" w:rsidRPr="00A82453" w:rsidRDefault="00A13076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 literacy: si</w:t>
            </w:r>
            <w:r w:rsidR="00826E2B" w:rsidRPr="00A82453">
              <w:rPr>
                <w:rFonts w:asciiTheme="majorHAnsi" w:hAnsiTheme="majorHAnsi"/>
                <w:sz w:val="15"/>
                <w:szCs w:val="15"/>
              </w:rPr>
              <w:t>mple budgeting and consumer math</w:t>
            </w:r>
          </w:p>
        </w:tc>
        <w:tc>
          <w:tcPr>
            <w:tcW w:w="2078" w:type="dxa"/>
          </w:tcPr>
          <w:p w14:paraId="4BBCFB4C" w14:textId="0CEB25F6" w:rsidR="00A13076" w:rsidRPr="00A82453" w:rsidRDefault="00A13076" w:rsidP="005205AD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Financial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 Literacy: financial percentage</w:t>
            </w:r>
          </w:p>
        </w:tc>
        <w:tc>
          <w:tcPr>
            <w:tcW w:w="2247" w:type="dxa"/>
          </w:tcPr>
          <w:p w14:paraId="2C01713F" w14:textId="29DA57E2" w:rsidR="00A13076" w:rsidRPr="00A82453" w:rsidRDefault="00A13076" w:rsidP="00D56597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Financial Literacy: best buys </w:t>
            </w:r>
          </w:p>
        </w:tc>
        <w:tc>
          <w:tcPr>
            <w:tcW w:w="2068" w:type="dxa"/>
          </w:tcPr>
          <w:p w14:paraId="4E62412C" w14:textId="446440A5" w:rsidR="003A5C37" w:rsidRPr="00A82453" w:rsidRDefault="003A5C37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Financial Literacy: simple budgets and transactions </w:t>
            </w:r>
          </w:p>
        </w:tc>
      </w:tr>
      <w:tr w:rsidR="00336F52" w:rsidRPr="00DD50C6" w14:paraId="0D3C4470" w14:textId="77777777" w:rsidTr="007B4E34">
        <w:trPr>
          <w:cantSplit/>
          <w:trHeight w:val="1231"/>
        </w:trPr>
        <w:tc>
          <w:tcPr>
            <w:tcW w:w="843" w:type="dxa"/>
            <w:tcBorders>
              <w:bottom w:val="single" w:sz="4" w:space="0" w:color="auto"/>
            </w:tcBorders>
            <w:textDirection w:val="btLr"/>
          </w:tcPr>
          <w:p w14:paraId="0B596C15" w14:textId="7700F435" w:rsidR="00336F52" w:rsidRDefault="00336F52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Spatial Sense</w:t>
            </w:r>
          </w:p>
        </w:tc>
        <w:tc>
          <w:tcPr>
            <w:tcW w:w="2257" w:type="dxa"/>
          </w:tcPr>
          <w:p w14:paraId="4D21B4E0" w14:textId="1416EF4B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Direct comparative measurement (</w:t>
            </w:r>
            <w:proofErr w:type="spellStart"/>
            <w:r w:rsidRPr="00A82453">
              <w:rPr>
                <w:rFonts w:asciiTheme="majorHAnsi" w:hAnsiTheme="majorHAnsi"/>
                <w:sz w:val="15"/>
                <w:szCs w:val="15"/>
              </w:rPr>
              <w:t>ie</w:t>
            </w:r>
            <w:proofErr w:type="spellEnd"/>
            <w:r w:rsidRPr="00A82453">
              <w:rPr>
                <w:rFonts w:asciiTheme="majorHAnsi" w:hAnsiTheme="majorHAnsi"/>
                <w:sz w:val="15"/>
                <w:szCs w:val="15"/>
              </w:rPr>
              <w:t>: Linear, mass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capacity)</w:t>
            </w:r>
          </w:p>
          <w:p w14:paraId="009418A1" w14:textId="2124DEE0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Single attributes of 2D shapes and 3D objects</w:t>
            </w:r>
          </w:p>
        </w:tc>
        <w:tc>
          <w:tcPr>
            <w:tcW w:w="2257" w:type="dxa"/>
          </w:tcPr>
          <w:p w14:paraId="1E8707A0" w14:textId="22C3E5D0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Direct measuremen</w:t>
            </w:r>
            <w:r w:rsidR="00250B4B">
              <w:rPr>
                <w:rFonts w:asciiTheme="majorHAnsi" w:hAnsiTheme="majorHAnsi"/>
                <w:sz w:val="15"/>
                <w:szCs w:val="15"/>
              </w:rPr>
              <w:t>t with non-standard units (non-uniform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uniform)</w:t>
            </w:r>
          </w:p>
          <w:p w14:paraId="4C819867" w14:textId="3D3C4D35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Comparison of 2D shapes and 3D objects</w:t>
            </w:r>
          </w:p>
        </w:tc>
        <w:tc>
          <w:tcPr>
            <w:tcW w:w="2257" w:type="dxa"/>
          </w:tcPr>
          <w:p w14:paraId="4D6ABA0D" w14:textId="461F3FB0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Direct linear </w:t>
            </w:r>
            <w:r w:rsidR="00250B4B">
              <w:rPr>
                <w:rFonts w:asciiTheme="majorHAnsi" w:hAnsiTheme="majorHAnsi"/>
                <w:sz w:val="15"/>
                <w:szCs w:val="15"/>
              </w:rPr>
              <w:t>measurement, introducing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standard metric units</w:t>
            </w:r>
          </w:p>
          <w:p w14:paraId="22C07EF0" w14:textId="2F38D82C" w:rsidR="00336F52" w:rsidRPr="00250B4B" w:rsidRDefault="00336F52" w:rsidP="00250B4B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Multiple attributes of 2D shapes and 3D objects</w:t>
            </w:r>
          </w:p>
        </w:tc>
        <w:tc>
          <w:tcPr>
            <w:tcW w:w="2257" w:type="dxa"/>
          </w:tcPr>
          <w:p w14:paraId="7E7ACE5D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Measurement using standard units (linear, mass, and capacity)</w:t>
            </w:r>
          </w:p>
          <w:p w14:paraId="484BD4E6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Time concepts</w:t>
            </w:r>
          </w:p>
          <w:p w14:paraId="4DD2821F" w14:textId="5354FB78" w:rsidR="00336F52" w:rsidRPr="00250B4B" w:rsidRDefault="00336F52" w:rsidP="00250B4B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Construction of 3D shapes</w:t>
            </w:r>
          </w:p>
        </w:tc>
        <w:tc>
          <w:tcPr>
            <w:tcW w:w="2256" w:type="dxa"/>
          </w:tcPr>
          <w:p w14:paraId="6C03D980" w14:textId="354EEB88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How to tell time with analog and digital clocks, using 12-and-24-hour clocks</w:t>
            </w:r>
          </w:p>
          <w:p w14:paraId="6ABBEDAC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Regular and irregular polygons</w:t>
            </w:r>
          </w:p>
          <w:p w14:paraId="4699C829" w14:textId="6710C188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Perimeter of regular and irregular shapes</w:t>
            </w:r>
          </w:p>
          <w:p w14:paraId="1FD6BD4D" w14:textId="57A526D6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Line symmetry</w:t>
            </w:r>
          </w:p>
        </w:tc>
        <w:tc>
          <w:tcPr>
            <w:tcW w:w="2257" w:type="dxa"/>
          </w:tcPr>
          <w:p w14:paraId="70BC3C64" w14:textId="66146EEB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Duration, using measurement of time</w:t>
            </w:r>
          </w:p>
          <w:p w14:paraId="0065BA60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Area measurement of squares and rectangles</w:t>
            </w:r>
          </w:p>
          <w:p w14:paraId="59AB93AB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Relationships between area and perimeter</w:t>
            </w:r>
          </w:p>
          <w:p w14:paraId="264CFA10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Classification of prisms and pyramids</w:t>
            </w:r>
          </w:p>
          <w:p w14:paraId="0C28E4E1" w14:textId="24761C1E" w:rsidR="00336F52" w:rsidRPr="00BC441E" w:rsidRDefault="00336F5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Single transformations</w:t>
            </w:r>
          </w:p>
        </w:tc>
        <w:tc>
          <w:tcPr>
            <w:tcW w:w="2258" w:type="dxa"/>
          </w:tcPr>
          <w:p w14:paraId="201D4491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Perimeter of complex shapes</w:t>
            </w:r>
          </w:p>
          <w:p w14:paraId="1DDC2F57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Area of triangles, parallelograms and trapezoids</w:t>
            </w:r>
          </w:p>
          <w:p w14:paraId="2310ED15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Angle measurement and classification</w:t>
            </w:r>
          </w:p>
          <w:p w14:paraId="24C4820D" w14:textId="514F420B" w:rsidR="00336F52" w:rsidRPr="00A82453" w:rsidRDefault="000A44FE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Volume and capacity</w:t>
            </w:r>
          </w:p>
          <w:p w14:paraId="23FA96B6" w14:textId="77777777" w:rsidR="00336F52" w:rsidRDefault="00336F52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</w:t>
            </w:r>
            <w:r w:rsidR="000A44FE">
              <w:rPr>
                <w:rFonts w:asciiTheme="majorHAnsi" w:hAnsiTheme="majorHAnsi"/>
                <w:sz w:val="15"/>
                <w:szCs w:val="15"/>
              </w:rPr>
              <w:t>riangles</w:t>
            </w:r>
          </w:p>
          <w:p w14:paraId="17E13E2B" w14:textId="5F747784" w:rsidR="005205AD" w:rsidRPr="00A82453" w:rsidRDefault="005205AD" w:rsidP="000A44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</w:t>
            </w:r>
            <w:r>
              <w:rPr>
                <w:rFonts w:asciiTheme="majorHAnsi" w:hAnsiTheme="majorHAnsi"/>
                <w:sz w:val="15"/>
                <w:szCs w:val="15"/>
              </w:rPr>
              <w:t>ombinations of transformations</w:t>
            </w:r>
          </w:p>
        </w:tc>
        <w:tc>
          <w:tcPr>
            <w:tcW w:w="2078" w:type="dxa"/>
          </w:tcPr>
          <w:p w14:paraId="6299293D" w14:textId="77777777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Circumference and area of circles</w:t>
            </w:r>
          </w:p>
          <w:p w14:paraId="28CFE613" w14:textId="6DB3DEBF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Volume of </w:t>
            </w:r>
            <w:r w:rsidR="005205AD">
              <w:rPr>
                <w:rFonts w:asciiTheme="majorHAnsi" w:hAnsiTheme="majorHAnsi"/>
                <w:sz w:val="15"/>
                <w:szCs w:val="15"/>
              </w:rPr>
              <w:t xml:space="preserve">rectangular prisms and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cylinders </w:t>
            </w:r>
          </w:p>
          <w:p w14:paraId="371AB477" w14:textId="023973C0" w:rsidR="00336F52" w:rsidRPr="00A82453" w:rsidRDefault="00336F52" w:rsidP="005205AD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</w:t>
            </w:r>
            <w:r w:rsidR="005205AD">
              <w:rPr>
                <w:rFonts w:asciiTheme="majorHAnsi" w:hAnsiTheme="majorHAnsi"/>
                <w:sz w:val="15"/>
                <w:szCs w:val="15"/>
              </w:rPr>
              <w:t>ombinations of transformations</w:t>
            </w:r>
          </w:p>
        </w:tc>
        <w:tc>
          <w:tcPr>
            <w:tcW w:w="2247" w:type="dxa"/>
          </w:tcPr>
          <w:p w14:paraId="61EBBD64" w14:textId="03B1C251" w:rsidR="00336F52" w:rsidRPr="00A82453" w:rsidRDefault="00336F5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Surface area and volume of regular solids 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including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triangular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 and other right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prism</w:t>
            </w:r>
            <w:r w:rsidR="00D56597">
              <w:rPr>
                <w:rFonts w:asciiTheme="majorHAnsi" w:hAnsiTheme="majorHAnsi"/>
                <w:sz w:val="15"/>
                <w:szCs w:val="15"/>
              </w:rPr>
              <w:t>s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and cylinder</w:t>
            </w:r>
            <w:r w:rsidR="00D56597">
              <w:rPr>
                <w:rFonts w:asciiTheme="majorHAnsi" w:hAnsiTheme="majorHAnsi"/>
                <w:sz w:val="15"/>
                <w:szCs w:val="15"/>
              </w:rPr>
              <w:t>s</w:t>
            </w:r>
          </w:p>
          <w:p w14:paraId="1689FF97" w14:textId="2BCD82EA" w:rsidR="00336F52" w:rsidRPr="00A82453" w:rsidRDefault="00336F5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Construction, views and nets of 3D objects</w:t>
            </w:r>
          </w:p>
        </w:tc>
        <w:tc>
          <w:tcPr>
            <w:tcW w:w="2068" w:type="dxa"/>
          </w:tcPr>
          <w:p w14:paraId="471F0CD6" w14:textId="3BB9E204" w:rsidR="00336F52" w:rsidRPr="00A82453" w:rsidRDefault="00336F52" w:rsidP="005621E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Spatial proportional reasoning </w:t>
            </w:r>
          </w:p>
        </w:tc>
      </w:tr>
      <w:tr w:rsidR="00336F52" w:rsidRPr="00DD50C6" w14:paraId="69B90C35" w14:textId="4F095698" w:rsidTr="007B4E34">
        <w:trPr>
          <w:cantSplit/>
        </w:trPr>
        <w:tc>
          <w:tcPr>
            <w:tcW w:w="843" w:type="dxa"/>
            <w:tcBorders>
              <w:bottom w:val="thinThickSmallGap" w:sz="24" w:space="0" w:color="auto"/>
            </w:tcBorders>
            <w:textDirection w:val="btLr"/>
          </w:tcPr>
          <w:p w14:paraId="18FAB67D" w14:textId="67B46576" w:rsidR="00336F52" w:rsidRPr="00DD50C6" w:rsidRDefault="00674909" w:rsidP="00674909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Patterns and Relations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51C63D0F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Repeating patterns with two or three elements</w:t>
            </w:r>
          </w:p>
          <w:p w14:paraId="748A9680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Equality as a balance and inequality as an imbalance</w:t>
            </w:r>
          </w:p>
          <w:p w14:paraId="65378B63" w14:textId="5D5DDA3F" w:rsidR="00336F52" w:rsidRPr="00A82453" w:rsidRDefault="00336F52" w:rsidP="00A8245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1D9CCE7B" w14:textId="52202A9F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Repeating patterns multiple elements and attributes</w:t>
            </w:r>
          </w:p>
          <w:p w14:paraId="1EEB4BBB" w14:textId="0A0F9251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Meaning of equality and inequality 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6772B425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Repeating and increasing patterns </w:t>
            </w:r>
          </w:p>
          <w:p w14:paraId="43C4F497" w14:textId="63E8380D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Symbolic representation of equality and inequality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6F550ED7" w14:textId="11BC10F4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</w:t>
            </w:r>
          </w:p>
          <w:p w14:paraId="76E31862" w14:textId="6889B282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Pattern rules using words and numbers based on concrete experiences</w:t>
            </w:r>
          </w:p>
          <w:p w14:paraId="75E80C69" w14:textId="00CEBF3D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addition and subtraction equations with an unknown number</w:t>
            </w:r>
          </w:p>
        </w:tc>
        <w:tc>
          <w:tcPr>
            <w:tcW w:w="2256" w:type="dxa"/>
            <w:tcBorders>
              <w:bottom w:val="thinThickSmallGap" w:sz="24" w:space="0" w:color="auto"/>
            </w:tcBorders>
          </w:tcPr>
          <w:p w14:paraId="12050A41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patterns, using tables and charts</w:t>
            </w:r>
          </w:p>
          <w:p w14:paraId="24AB511A" w14:textId="77777777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Algebraic relationships among quantities</w:t>
            </w:r>
          </w:p>
          <w:p w14:paraId="623103E4" w14:textId="73EEA914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equations with an unknown number using all operations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14:paraId="53E3B233" w14:textId="77777777" w:rsidR="00336F52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 with words, numbers, symbols, and variables</w:t>
            </w:r>
          </w:p>
          <w:p w14:paraId="0D6F2377" w14:textId="4DB71207" w:rsidR="00613C0F" w:rsidRPr="00A82453" w:rsidRDefault="00613C0F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One-step equations with variables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1587B2D8" w14:textId="1BA0E305" w:rsidR="00336F52" w:rsidRPr="000A44FE" w:rsidRDefault="00336F52" w:rsidP="000A44F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Increasing and decreasing patterns, using expressions, tables and graphs</w:t>
            </w:r>
            <w:r w:rsidR="000A44FE">
              <w:rPr>
                <w:rFonts w:asciiTheme="majorHAnsi" w:hAnsiTheme="majorHAnsi"/>
                <w:sz w:val="15"/>
                <w:szCs w:val="15"/>
              </w:rPr>
              <w:t xml:space="preserve"> as f</w:t>
            </w:r>
            <w:r w:rsidRPr="000A44FE">
              <w:rPr>
                <w:rFonts w:asciiTheme="majorHAnsi" w:hAnsiTheme="majorHAnsi"/>
                <w:sz w:val="15"/>
                <w:szCs w:val="15"/>
              </w:rPr>
              <w:t>unctional relationships</w:t>
            </w:r>
          </w:p>
          <w:p w14:paraId="7BB03357" w14:textId="2D2640AA" w:rsidR="00336F52" w:rsidRPr="00A82453" w:rsidRDefault="00336F52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One-step equations with whole-number coefficients and solutions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7B21140" w14:textId="77777777" w:rsidR="00D33EFE" w:rsidRDefault="00D33EFE" w:rsidP="00D33EFE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Two-step equations with whole number coefficients, constants and solutions</w:t>
            </w:r>
          </w:p>
          <w:p w14:paraId="7695BE79" w14:textId="69D4ED5C" w:rsidR="00336F52" w:rsidRPr="00A82453" w:rsidRDefault="00336F52" w:rsidP="00D33EFE">
            <w:pPr>
              <w:pStyle w:val="ListParagraph"/>
              <w:numPr>
                <w:ilvl w:val="0"/>
                <w:numId w:val="0"/>
              </w:numPr>
              <w:spacing w:before="60" w:after="60"/>
              <w:ind w:left="131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5586BD9" w14:textId="77777777" w:rsidR="00D56597" w:rsidRDefault="00D33EFE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Expressions</w:t>
            </w:r>
            <w:r w:rsidR="00D56597">
              <w:rPr>
                <w:rFonts w:asciiTheme="majorHAnsi" w:hAnsiTheme="majorHAnsi"/>
                <w:sz w:val="15"/>
                <w:szCs w:val="15"/>
              </w:rPr>
              <w:t xml:space="preserve"> – writing an evaluating using substitution</w:t>
            </w:r>
          </w:p>
          <w:p w14:paraId="47154538" w14:textId="50F84FB2" w:rsidR="00D33EFE" w:rsidRPr="00A82453" w:rsidRDefault="00D56597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Two-step</w:t>
            </w:r>
            <w:r w:rsidR="00D33EFE" w:rsidRPr="00A82453">
              <w:rPr>
                <w:rFonts w:asciiTheme="majorHAnsi" w:hAnsiTheme="majorHAnsi"/>
                <w:sz w:val="15"/>
                <w:szCs w:val="15"/>
              </w:rPr>
              <w:t xml:space="preserve"> equations with integer coefficients, constants and solutions</w:t>
            </w:r>
          </w:p>
          <w:p w14:paraId="60E6151D" w14:textId="525633E4" w:rsidR="00336F52" w:rsidRPr="00D33EFE" w:rsidRDefault="00336F52" w:rsidP="00D33EF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D3AD132" w14:textId="6AF10781" w:rsidR="00D33EFE" w:rsidRPr="00A82453" w:rsidRDefault="00D33EFE" w:rsidP="00D33EFE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Multi-step</w:t>
            </w:r>
            <w:r w:rsidR="005621E2">
              <w:rPr>
                <w:rFonts w:asciiTheme="majorHAnsi" w:hAnsiTheme="majorHAnsi"/>
                <w:sz w:val="15"/>
                <w:szCs w:val="15"/>
              </w:rPr>
              <w:t xml:space="preserve"> one-variable linear equations</w:t>
            </w:r>
          </w:p>
          <w:p w14:paraId="344BE9EC" w14:textId="247816ED" w:rsidR="00D33EFE" w:rsidRPr="00A82453" w:rsidRDefault="00D33EFE" w:rsidP="00D33EF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Two-variable linear relations, using graphing, interpolation, and extrapolation</w:t>
            </w:r>
          </w:p>
        </w:tc>
      </w:tr>
      <w:tr w:rsidR="00674909" w:rsidRPr="00DD50C6" w14:paraId="35568218" w14:textId="5F59E15E" w:rsidTr="007B4E34">
        <w:trPr>
          <w:cantSplit/>
          <w:trHeight w:val="1340"/>
        </w:trPr>
        <w:tc>
          <w:tcPr>
            <w:tcW w:w="843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B164EF4" w14:textId="1C2E2147" w:rsidR="00674909" w:rsidRPr="00DD50C6" w:rsidRDefault="00674909" w:rsidP="00AD0C29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Statistics and Probability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21DFD097" w14:textId="0BD280B3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Concrete or pictorial graphs as a visual tool for the class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225204B4" w14:textId="741206BB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Concrete graphs using one-to-one correspondence 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3F8B2AAF" w14:textId="7299315C" w:rsidR="00674909" w:rsidRPr="00A82453" w:rsidRDefault="00674909" w:rsidP="00BC441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Pictorial representation of concrete graphs using one-to-one correspondence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14:paraId="58F14561" w14:textId="55B9B683" w:rsidR="00674909" w:rsidRPr="00A82453" w:rsidRDefault="00674909" w:rsidP="00674909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One-to-one correspondence with bar graphs, pictographs, charts and tables</w:t>
            </w:r>
          </w:p>
        </w:tc>
        <w:tc>
          <w:tcPr>
            <w:tcW w:w="2256" w:type="dxa"/>
            <w:tcBorders>
              <w:top w:val="thinThickSmallGap" w:sz="24" w:space="0" w:color="auto"/>
            </w:tcBorders>
          </w:tcPr>
          <w:p w14:paraId="3AFF70DB" w14:textId="1091C538" w:rsidR="00674909" w:rsidRPr="00A82453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One-to-one correspondence and many-to-one correspondence, using bar graphs and pictographs</w:t>
            </w:r>
          </w:p>
        </w:tc>
        <w:tc>
          <w:tcPr>
            <w:tcW w:w="225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4995A7F" w14:textId="5128A226" w:rsidR="00674909" w:rsidRPr="00A82453" w:rsidRDefault="00674909" w:rsidP="00BC441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One-to-one correspondence and many-to-one correspondence, using double bar graphs </w:t>
            </w:r>
          </w:p>
        </w:tc>
        <w:tc>
          <w:tcPr>
            <w:tcW w:w="225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A31AB47" w14:textId="601626EF" w:rsidR="00674909" w:rsidRPr="005205AD" w:rsidRDefault="00674909" w:rsidP="005205AD">
            <w:pPr>
              <w:pStyle w:val="ListParagraph"/>
              <w:numPr>
                <w:ilvl w:val="0"/>
                <w:numId w:val="6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Line graphs</w:t>
            </w:r>
          </w:p>
        </w:tc>
        <w:tc>
          <w:tcPr>
            <w:tcW w:w="2078" w:type="dxa"/>
            <w:tcBorders>
              <w:bottom w:val="thinThickSmallGap" w:sz="24" w:space="0" w:color="auto"/>
            </w:tcBorders>
          </w:tcPr>
          <w:p w14:paraId="2004DDB5" w14:textId="77777777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Discrete linear relations, using expressions, tables, and graphs</w:t>
            </w:r>
          </w:p>
          <w:p w14:paraId="2AC74379" w14:textId="77777777" w:rsidR="00674909" w:rsidRDefault="00674909" w:rsidP="00A82453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Cartesian coordinates and graphing</w:t>
            </w:r>
          </w:p>
          <w:p w14:paraId="6F31A675" w14:textId="3F0FCD6F" w:rsidR="00674909" w:rsidRPr="00D56597" w:rsidRDefault="005205AD" w:rsidP="00D5659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Circle graphs </w:t>
            </w:r>
          </w:p>
          <w:p w14:paraId="1595F7F7" w14:textId="75BA3CD2" w:rsidR="00674909" w:rsidRPr="00674909" w:rsidRDefault="00674909" w:rsidP="0067490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47" w:type="dxa"/>
            <w:tcBorders>
              <w:bottom w:val="thinThickSmallGap" w:sz="24" w:space="0" w:color="auto"/>
            </w:tcBorders>
          </w:tcPr>
          <w:p w14:paraId="20CC9B1B" w14:textId="73E86793" w:rsidR="00D56597" w:rsidRPr="005621E2" w:rsidRDefault="00D56597" w:rsidP="005621E2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5621E2">
              <w:rPr>
                <w:rFonts w:asciiTheme="majorHAnsi" w:hAnsiTheme="majorHAnsi"/>
                <w:sz w:val="15"/>
                <w:szCs w:val="15"/>
              </w:rPr>
              <w:t>Discrete linear relations (extended to larger numbers, limited to integers)</w:t>
            </w:r>
          </w:p>
          <w:p w14:paraId="1DDEF9AA" w14:textId="795E2190" w:rsidR="00674909" w:rsidRPr="00CD32A7" w:rsidRDefault="00674909" w:rsidP="00CD32A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068" w:type="dxa"/>
            <w:tcBorders>
              <w:bottom w:val="thinThickSmallGap" w:sz="24" w:space="0" w:color="auto"/>
            </w:tcBorders>
          </w:tcPr>
          <w:p w14:paraId="1627BCCD" w14:textId="04D4F8EC" w:rsidR="00674909" w:rsidRPr="00CD32A7" w:rsidRDefault="00674909" w:rsidP="00CD32A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674909" w:rsidRPr="00DD50C6" w14:paraId="36D8E59B" w14:textId="0D82BC4C" w:rsidTr="00674909">
        <w:trPr>
          <w:cantSplit/>
          <w:trHeight w:val="1438"/>
        </w:trPr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14:paraId="52C99182" w14:textId="03CF65F4" w:rsidR="00674909" w:rsidRPr="00DD50C6" w:rsidRDefault="00674909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7" w:type="dxa"/>
          </w:tcPr>
          <w:p w14:paraId="4A2D3932" w14:textId="7A6929EB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Likelihood of familiar life events</w:t>
            </w:r>
          </w:p>
        </w:tc>
        <w:tc>
          <w:tcPr>
            <w:tcW w:w="2257" w:type="dxa"/>
          </w:tcPr>
          <w:p w14:paraId="14157626" w14:textId="3A784E78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  <w:r w:rsidRPr="00674909">
              <w:rPr>
                <w:rFonts w:asciiTheme="majorHAnsi" w:hAnsiTheme="majorHAnsi"/>
                <w:sz w:val="15"/>
                <w:szCs w:val="15"/>
              </w:rPr>
              <w:t>Likelihood of familiar life events using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674909">
              <w:rPr>
                <w:rFonts w:asciiTheme="majorHAnsi" w:hAnsiTheme="majorHAnsi"/>
                <w:sz w:val="15"/>
                <w:szCs w:val="15"/>
              </w:rPr>
              <w:t xml:space="preserve"> comparative language </w:t>
            </w:r>
          </w:p>
          <w:p w14:paraId="16624BB9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53FFB041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1319825C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54AAC79B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36B86A63" w14:textId="77777777" w:rsidR="00674909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  <w:p w14:paraId="43F8043D" w14:textId="587768C6" w:rsidR="00674909" w:rsidRPr="00A82453" w:rsidRDefault="00674909" w:rsidP="00BC441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257" w:type="dxa"/>
          </w:tcPr>
          <w:p w14:paraId="1CC7602B" w14:textId="4C036CF8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Likelihood of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50B4B" w:rsidRPr="00674909">
              <w:rPr>
                <w:rFonts w:asciiTheme="majorHAnsi" w:hAnsiTheme="majorHAnsi"/>
                <w:sz w:val="15"/>
                <w:szCs w:val="15"/>
              </w:rPr>
              <w:t xml:space="preserve"> familiar life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events</w:t>
            </w:r>
            <w:r w:rsidR="00250B4B">
              <w:rPr>
                <w:rFonts w:asciiTheme="majorHAnsi" w:hAnsiTheme="majorHAnsi"/>
                <w:sz w:val="15"/>
                <w:szCs w:val="15"/>
              </w:rPr>
              <w:t>,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 xml:space="preserve"> using comparative language</w:t>
            </w:r>
          </w:p>
        </w:tc>
        <w:tc>
          <w:tcPr>
            <w:tcW w:w="2257" w:type="dxa"/>
          </w:tcPr>
          <w:p w14:paraId="27C11A74" w14:textId="7E4009C0" w:rsidR="00674909" w:rsidRPr="00A82453" w:rsidRDefault="00674909" w:rsidP="00BC441E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Likelihood of </w:t>
            </w:r>
            <w:r w:rsidR="00250B4B">
              <w:rPr>
                <w:rFonts w:asciiTheme="majorHAnsi" w:hAnsiTheme="majorHAnsi"/>
                <w:sz w:val="15"/>
                <w:szCs w:val="15"/>
              </w:rPr>
              <w:t xml:space="preserve">simulated 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events using comparative language</w:t>
            </w:r>
          </w:p>
        </w:tc>
        <w:tc>
          <w:tcPr>
            <w:tcW w:w="2256" w:type="dxa"/>
          </w:tcPr>
          <w:p w14:paraId="36209CE6" w14:textId="70AEE59D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Probability experiments</w:t>
            </w:r>
          </w:p>
        </w:tc>
        <w:tc>
          <w:tcPr>
            <w:tcW w:w="2257" w:type="dxa"/>
          </w:tcPr>
          <w:p w14:paraId="1C2FE558" w14:textId="6043F19F" w:rsidR="00674909" w:rsidRPr="00A82453" w:rsidRDefault="00674909" w:rsidP="00250B4B">
            <w:pPr>
              <w:pStyle w:val="ListParagraph"/>
              <w:numPr>
                <w:ilvl w:val="0"/>
                <w:numId w:val="6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 xml:space="preserve">Probability experiments, </w:t>
            </w:r>
            <w:r w:rsidR="00250B4B">
              <w:rPr>
                <w:rFonts w:asciiTheme="majorHAnsi" w:hAnsiTheme="majorHAnsi"/>
                <w:sz w:val="15"/>
                <w:szCs w:val="15"/>
              </w:rPr>
              <w:t>single events, or outcomes</w:t>
            </w:r>
          </w:p>
        </w:tc>
        <w:tc>
          <w:tcPr>
            <w:tcW w:w="2258" w:type="dxa"/>
            <w:tcBorders>
              <w:top w:val="thinThickSmallGap" w:sz="24" w:space="0" w:color="auto"/>
            </w:tcBorders>
          </w:tcPr>
          <w:p w14:paraId="747E26E0" w14:textId="44A12D97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Single-outcome probability, b</w:t>
            </w:r>
            <w:r w:rsidRPr="00A82453">
              <w:rPr>
                <w:rFonts w:asciiTheme="majorHAnsi" w:hAnsiTheme="majorHAnsi"/>
                <w:sz w:val="15"/>
                <w:szCs w:val="15"/>
              </w:rPr>
              <w:t>oth theoretical and experimental</w:t>
            </w:r>
          </w:p>
        </w:tc>
        <w:tc>
          <w:tcPr>
            <w:tcW w:w="2078" w:type="dxa"/>
            <w:tcBorders>
              <w:top w:val="thinThickSmallGap" w:sz="24" w:space="0" w:color="auto"/>
            </w:tcBorders>
          </w:tcPr>
          <w:p w14:paraId="4B4BD28A" w14:textId="1CD9899B" w:rsidR="00674909" w:rsidRPr="00A82453" w:rsidRDefault="00674909" w:rsidP="00A82453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  <w:rPr>
                <w:rFonts w:asciiTheme="majorHAnsi" w:hAnsiTheme="majorHAnsi"/>
                <w:sz w:val="15"/>
                <w:szCs w:val="15"/>
              </w:rPr>
            </w:pPr>
            <w:r w:rsidRPr="00A82453">
              <w:rPr>
                <w:rFonts w:asciiTheme="majorHAnsi" w:hAnsiTheme="majorHAnsi"/>
                <w:sz w:val="15"/>
                <w:szCs w:val="15"/>
              </w:rPr>
              <w:t>Experimental probability with two independent events</w:t>
            </w:r>
          </w:p>
        </w:tc>
        <w:tc>
          <w:tcPr>
            <w:tcW w:w="2247" w:type="dxa"/>
            <w:tcBorders>
              <w:top w:val="thinThickSmallGap" w:sz="24" w:space="0" w:color="auto"/>
            </w:tcBorders>
          </w:tcPr>
          <w:p w14:paraId="57B3909A" w14:textId="77777777" w:rsidR="00674909" w:rsidRPr="00D56597" w:rsidRDefault="00674909" w:rsidP="00CD32A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 w:rsidRPr="00CD32A7">
              <w:rPr>
                <w:rFonts w:asciiTheme="majorHAnsi" w:hAnsiTheme="majorHAnsi"/>
                <w:sz w:val="15"/>
                <w:szCs w:val="15"/>
              </w:rPr>
              <w:t>Theoretical probability with two independent events</w:t>
            </w:r>
          </w:p>
          <w:p w14:paraId="0062719B" w14:textId="1EBF3ED6" w:rsidR="00D56597" w:rsidRPr="00CD32A7" w:rsidRDefault="00D56597" w:rsidP="00CD32A7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>
              <w:rPr>
                <w:rFonts w:asciiTheme="majorHAnsi" w:hAnsiTheme="majorHAnsi"/>
                <w:sz w:val="15"/>
                <w:szCs w:val="15"/>
              </w:rPr>
              <w:t xml:space="preserve">Central tendency </w:t>
            </w:r>
          </w:p>
        </w:tc>
        <w:tc>
          <w:tcPr>
            <w:tcW w:w="2068" w:type="dxa"/>
            <w:tcBorders>
              <w:top w:val="thinThickSmallGap" w:sz="24" w:space="0" w:color="auto"/>
            </w:tcBorders>
          </w:tcPr>
          <w:p w14:paraId="6B7E6F72" w14:textId="268E83D5" w:rsidR="00674909" w:rsidRPr="00A82453" w:rsidRDefault="005621E2" w:rsidP="005621E2">
            <w:pPr>
              <w:pStyle w:val="ListParagraph"/>
              <w:numPr>
                <w:ilvl w:val="0"/>
                <w:numId w:val="6"/>
              </w:numPr>
              <w:spacing w:before="60" w:after="60"/>
              <w:ind w:left="172" w:hanging="172"/>
            </w:pPr>
            <w:r>
              <w:rPr>
                <w:rFonts w:asciiTheme="majorHAnsi" w:hAnsiTheme="majorHAnsi"/>
                <w:sz w:val="15"/>
                <w:szCs w:val="15"/>
              </w:rPr>
              <w:t>Statistics in society</w:t>
            </w:r>
          </w:p>
        </w:tc>
      </w:tr>
    </w:tbl>
    <w:p w14:paraId="0704E29C" w14:textId="04167B88" w:rsidR="005B4544" w:rsidRPr="005B4544" w:rsidRDefault="00BD2045" w:rsidP="00301AE6">
      <w:pPr>
        <w:spacing w:before="60" w:after="60"/>
        <w:rPr>
          <w:rFonts w:asciiTheme="majorHAnsi" w:hAnsiTheme="majorHAnsi"/>
          <w:b/>
          <w:sz w:val="32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2C9B" wp14:editId="732469EE">
                <wp:simplePos x="0" y="0"/>
                <wp:positionH relativeFrom="column">
                  <wp:posOffset>4869712</wp:posOffset>
                </wp:positionH>
                <wp:positionV relativeFrom="paragraph">
                  <wp:posOffset>-287079</wp:posOffset>
                </wp:positionV>
                <wp:extent cx="531622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632" w14:textId="52C73A20" w:rsidR="00953397" w:rsidRPr="00BD2045" w:rsidRDefault="00953397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</w:pPr>
                            <w:r w:rsidRP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MATH </w:t>
                            </w:r>
                            <w:r w:rsid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K-9 </w:t>
                            </w:r>
                            <w:r w:rsidRP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CONTINUUM OF CONTENT (KNOW)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2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45pt;margin-top:-22.6pt;width:418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" fillcolor="white [3201]" stroked="f" strokeweight=".5pt">
                <v:textbox>
                  <w:txbxContent>
                    <w:p w14:paraId="26F0E632" w14:textId="52C73A20" w:rsidR="00953397" w:rsidRPr="00BD2045" w:rsidRDefault="00953397" w:rsidP="00953397">
                      <w:pPr>
                        <w:spacing w:before="60" w:after="6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</w:pPr>
                      <w:r w:rsidRP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 xml:space="preserve">MATH </w:t>
                      </w:r>
                      <w:r w:rsid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 xml:space="preserve">K-9 </w:t>
                      </w:r>
                      <w:r w:rsidRPr="00BD2045">
                        <w:rPr>
                          <w:rFonts w:asciiTheme="majorHAnsi" w:hAnsiTheme="majorHAnsi"/>
                          <w:b/>
                          <w:sz w:val="40"/>
                          <w:szCs w:val="18"/>
                        </w:rPr>
                        <w:t>CONTINUUM OF CONTENT (KNOW)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544" w:rsidRPr="005B4544" w:rsidSect="00A8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BE4" w14:textId="77777777" w:rsidR="004445F0" w:rsidRDefault="004445F0" w:rsidP="0001413F">
      <w:r>
        <w:separator/>
      </w:r>
    </w:p>
  </w:endnote>
  <w:endnote w:type="continuationSeparator" w:id="0">
    <w:p w14:paraId="1796ADF4" w14:textId="77777777" w:rsidR="004445F0" w:rsidRDefault="004445F0" w:rsidP="000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04AD" w14:textId="77777777" w:rsidR="00B63E5E" w:rsidRDefault="00B63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EBD0" w14:textId="77777777" w:rsidR="0001413F" w:rsidRDefault="00014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D47" w14:textId="77777777" w:rsidR="00B63E5E" w:rsidRDefault="00B6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8C7B" w14:textId="77777777" w:rsidR="004445F0" w:rsidRDefault="004445F0" w:rsidP="0001413F">
      <w:r>
        <w:separator/>
      </w:r>
    </w:p>
  </w:footnote>
  <w:footnote w:type="continuationSeparator" w:id="0">
    <w:p w14:paraId="749C2D1A" w14:textId="77777777" w:rsidR="004445F0" w:rsidRDefault="004445F0" w:rsidP="0001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0533" w14:textId="77777777" w:rsidR="00B63E5E" w:rsidRDefault="00B6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6A32" w14:textId="77777777" w:rsidR="00B63E5E" w:rsidRDefault="00B63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BBD9" w14:textId="77777777" w:rsidR="00B63E5E" w:rsidRDefault="00B63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07B"/>
    <w:multiLevelType w:val="hybridMultilevel"/>
    <w:tmpl w:val="803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F3A"/>
    <w:multiLevelType w:val="hybridMultilevel"/>
    <w:tmpl w:val="57E2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D0"/>
    <w:multiLevelType w:val="hybridMultilevel"/>
    <w:tmpl w:val="AD5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4CB2"/>
    <w:multiLevelType w:val="hybridMultilevel"/>
    <w:tmpl w:val="1ADE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90AC0"/>
    <w:multiLevelType w:val="hybridMultilevel"/>
    <w:tmpl w:val="370C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1413F"/>
    <w:rsid w:val="00045FA9"/>
    <w:rsid w:val="000767FE"/>
    <w:rsid w:val="000A44FE"/>
    <w:rsid w:val="000D018E"/>
    <w:rsid w:val="000D26C2"/>
    <w:rsid w:val="000E5260"/>
    <w:rsid w:val="001709A4"/>
    <w:rsid w:val="00172083"/>
    <w:rsid w:val="00211F91"/>
    <w:rsid w:val="00212696"/>
    <w:rsid w:val="00250B4B"/>
    <w:rsid w:val="002B4884"/>
    <w:rsid w:val="002E4B06"/>
    <w:rsid w:val="00301AE6"/>
    <w:rsid w:val="0031729E"/>
    <w:rsid w:val="003328F1"/>
    <w:rsid w:val="00336F52"/>
    <w:rsid w:val="0033720F"/>
    <w:rsid w:val="00356BF0"/>
    <w:rsid w:val="00382241"/>
    <w:rsid w:val="003A30B3"/>
    <w:rsid w:val="003A5C37"/>
    <w:rsid w:val="00406ECA"/>
    <w:rsid w:val="004445F0"/>
    <w:rsid w:val="004E0C46"/>
    <w:rsid w:val="004E6322"/>
    <w:rsid w:val="00511E7E"/>
    <w:rsid w:val="005205AD"/>
    <w:rsid w:val="00522145"/>
    <w:rsid w:val="005621E2"/>
    <w:rsid w:val="00592A1D"/>
    <w:rsid w:val="005B1F04"/>
    <w:rsid w:val="005B4544"/>
    <w:rsid w:val="00602874"/>
    <w:rsid w:val="00610892"/>
    <w:rsid w:val="00613C0F"/>
    <w:rsid w:val="00647F28"/>
    <w:rsid w:val="00666FB1"/>
    <w:rsid w:val="00674909"/>
    <w:rsid w:val="006B691E"/>
    <w:rsid w:val="00760B56"/>
    <w:rsid w:val="007B4E34"/>
    <w:rsid w:val="007F606D"/>
    <w:rsid w:val="008262CE"/>
    <w:rsid w:val="00826E2B"/>
    <w:rsid w:val="008311A8"/>
    <w:rsid w:val="00854C87"/>
    <w:rsid w:val="008854BD"/>
    <w:rsid w:val="008C3BBA"/>
    <w:rsid w:val="008E2757"/>
    <w:rsid w:val="00916FA6"/>
    <w:rsid w:val="009451FC"/>
    <w:rsid w:val="00953397"/>
    <w:rsid w:val="00A13076"/>
    <w:rsid w:val="00A82453"/>
    <w:rsid w:val="00A91041"/>
    <w:rsid w:val="00AA4803"/>
    <w:rsid w:val="00AA4FDE"/>
    <w:rsid w:val="00AC5FDD"/>
    <w:rsid w:val="00AE251E"/>
    <w:rsid w:val="00B27D2B"/>
    <w:rsid w:val="00B63E5E"/>
    <w:rsid w:val="00B74341"/>
    <w:rsid w:val="00BC441E"/>
    <w:rsid w:val="00BC7607"/>
    <w:rsid w:val="00BD2045"/>
    <w:rsid w:val="00BD4FCF"/>
    <w:rsid w:val="00CC4DBA"/>
    <w:rsid w:val="00CD0F83"/>
    <w:rsid w:val="00CD32A7"/>
    <w:rsid w:val="00D03F57"/>
    <w:rsid w:val="00D30BA3"/>
    <w:rsid w:val="00D33EFE"/>
    <w:rsid w:val="00D56597"/>
    <w:rsid w:val="00D56E03"/>
    <w:rsid w:val="00D71C4C"/>
    <w:rsid w:val="00DB18F5"/>
    <w:rsid w:val="00DD50C6"/>
    <w:rsid w:val="00DE6C21"/>
    <w:rsid w:val="00E05B34"/>
    <w:rsid w:val="00E1040D"/>
    <w:rsid w:val="00E353D3"/>
    <w:rsid w:val="00E71E6C"/>
    <w:rsid w:val="00E97158"/>
    <w:rsid w:val="00F80DE1"/>
    <w:rsid w:val="00FB7C4C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E1C6BC2F-05DB-4A2F-B6C9-D2E3E7B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2A7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3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3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7CCC3-3684-3743-945A-2B94FE3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David Schroeder</cp:lastModifiedBy>
  <cp:revision>2</cp:revision>
  <cp:lastPrinted>2015-12-04T23:59:00Z</cp:lastPrinted>
  <dcterms:created xsi:type="dcterms:W3CDTF">2022-03-08T22:23:00Z</dcterms:created>
  <dcterms:modified xsi:type="dcterms:W3CDTF">2022-03-08T22:23:00Z</dcterms:modified>
</cp:coreProperties>
</file>