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8C0F" w14:textId="5D78486A" w:rsidR="00CB357A" w:rsidRPr="00F40200" w:rsidRDefault="00C417F4" w:rsidP="00F40200">
      <w:pPr>
        <w:jc w:val="center"/>
        <w:rPr>
          <w:rFonts w:ascii="Calibri" w:hAnsi="Calibri"/>
          <w:b/>
          <w:sz w:val="22"/>
        </w:rPr>
      </w:pPr>
      <w:r w:rsidRPr="00F40200">
        <w:rPr>
          <w:rFonts w:ascii="Calibri" w:hAnsi="Calibri"/>
          <w:b/>
          <w:sz w:val="22"/>
        </w:rPr>
        <w:t xml:space="preserve">Social Studies </w:t>
      </w:r>
      <w:r w:rsidR="0023489F">
        <w:rPr>
          <w:rFonts w:ascii="Calibri" w:hAnsi="Calibri"/>
          <w:b/>
          <w:sz w:val="22"/>
        </w:rPr>
        <w:t>7-9</w:t>
      </w:r>
      <w:r w:rsidR="00CB357A" w:rsidRPr="00F40200">
        <w:rPr>
          <w:rFonts w:ascii="Calibri" w:hAnsi="Calibri"/>
          <w:b/>
          <w:sz w:val="22"/>
        </w:rPr>
        <w:t xml:space="preserve"> - Curricular Competency Continuum</w:t>
      </w:r>
    </w:p>
    <w:p w14:paraId="3DCB16BB" w14:textId="77777777" w:rsidR="00061379" w:rsidRDefault="00061379">
      <w:pPr>
        <w:rPr>
          <w:rFonts w:ascii="Calibri" w:hAnsi="Calibri"/>
          <w:sz w:val="22"/>
        </w:rPr>
      </w:pPr>
    </w:p>
    <w:p w14:paraId="3333D3A9" w14:textId="77777777" w:rsidR="00061379" w:rsidRDefault="00061379">
      <w:pPr>
        <w:rPr>
          <w:rFonts w:ascii="Calibri" w:hAnsi="Calibri"/>
          <w:sz w:val="22"/>
        </w:rPr>
      </w:pPr>
      <w:bookmarkStart w:id="0" w:name="_GoBack"/>
      <w:bookmarkEnd w:id="0"/>
    </w:p>
    <w:p w14:paraId="664BB80F" w14:textId="77777777" w:rsidR="00061379" w:rsidRDefault="00061379">
      <w:pPr>
        <w:rPr>
          <w:rFonts w:ascii="Calibri" w:hAnsi="Calibri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2"/>
        <w:gridCol w:w="5702"/>
        <w:gridCol w:w="6209"/>
        <w:gridCol w:w="8277"/>
      </w:tblGrid>
      <w:tr w:rsidR="003B5C40" w:rsidRPr="00C417F4" w14:paraId="6B73B42D" w14:textId="77777777" w:rsidTr="00CE6E9C">
        <w:trPr>
          <w:trHeight w:val="566"/>
        </w:trPr>
        <w:tc>
          <w:tcPr>
            <w:tcW w:w="617" w:type="pct"/>
          </w:tcPr>
          <w:p w14:paraId="01E10419" w14:textId="77777777" w:rsidR="003B5C40" w:rsidRPr="00C417F4" w:rsidRDefault="003B5C40" w:rsidP="00674A7F">
            <w:pPr>
              <w:rPr>
                <w:rFonts w:ascii="Calibri" w:hAnsi="Calibri"/>
                <w:sz w:val="22"/>
              </w:rPr>
            </w:pPr>
            <w:r w:rsidRPr="00C417F4">
              <w:rPr>
                <w:rFonts w:ascii="Calibri" w:hAnsi="Calibri"/>
                <w:sz w:val="22"/>
              </w:rPr>
              <w:t>Curricular Competency</w:t>
            </w:r>
          </w:p>
        </w:tc>
        <w:tc>
          <w:tcPr>
            <w:tcW w:w="1238" w:type="pct"/>
          </w:tcPr>
          <w:p w14:paraId="3066F518" w14:textId="77777777" w:rsidR="003B5C40" w:rsidRPr="00665F18" w:rsidRDefault="003B5C40" w:rsidP="00674A7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7</w:t>
            </w:r>
          </w:p>
        </w:tc>
        <w:tc>
          <w:tcPr>
            <w:tcW w:w="1348" w:type="pct"/>
          </w:tcPr>
          <w:p w14:paraId="78D57488" w14:textId="77777777" w:rsidR="003B5C40" w:rsidRPr="00665F18" w:rsidRDefault="003B5C40" w:rsidP="00674A7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65F18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E4D812" wp14:editId="5C42129D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65405</wp:posOffset>
                      </wp:positionV>
                      <wp:extent cx="927100" cy="215900"/>
                      <wp:effectExtent l="0" t="19050" r="44450" b="3175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5AEF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44.05pt;margin-top:5.15pt;width:73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" adj="19085" fillcolor="#aeaaaa [2414]" strokecolor="black [1600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1797" w:type="pct"/>
          </w:tcPr>
          <w:p w14:paraId="2FE47BF2" w14:textId="77777777" w:rsidR="003B5C40" w:rsidRPr="00665F18" w:rsidRDefault="003B5C40" w:rsidP="00674A7F">
            <w:pPr>
              <w:jc w:val="center"/>
              <w:rPr>
                <w:rFonts w:ascii="Calibri" w:hAnsi="Calibri"/>
                <w:b/>
                <w:noProof/>
                <w:szCs w:val="24"/>
              </w:rPr>
            </w:pPr>
            <w:r w:rsidRPr="00665F18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D0F669" wp14:editId="048A1122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63500</wp:posOffset>
                      </wp:positionV>
                      <wp:extent cx="927100" cy="215900"/>
                      <wp:effectExtent l="0" t="19050" r="44450" b="3175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E675A" id="Right Arrow 6" o:spid="_x0000_s1026" type="#_x0000_t13" style="position:absolute;margin-left:-41.85pt;margin-top:5pt;width:73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" adj="19085" fillcolor="#aeaaaa [2414]" strokecolor="black [1600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szCs w:val="24"/>
              </w:rPr>
              <w:t>9</w:t>
            </w:r>
          </w:p>
        </w:tc>
      </w:tr>
      <w:tr w:rsidR="003B5C40" w:rsidRPr="00C417F4" w14:paraId="7CB9009A" w14:textId="77777777" w:rsidTr="003B5C40">
        <w:trPr>
          <w:trHeight w:val="1727"/>
        </w:trPr>
        <w:tc>
          <w:tcPr>
            <w:tcW w:w="617" w:type="pct"/>
          </w:tcPr>
          <w:p w14:paraId="50D40434" w14:textId="77777777" w:rsidR="003B5C40" w:rsidRPr="004E173B" w:rsidRDefault="003B5C40" w:rsidP="00674A7F">
            <w:pPr>
              <w:rPr>
                <w:rFonts w:ascii="Calibri" w:hAnsi="Calibri"/>
                <w:b/>
                <w:szCs w:val="24"/>
              </w:rPr>
            </w:pPr>
            <w:r w:rsidRPr="00C417F4">
              <w:rPr>
                <w:rFonts w:ascii="Calibri" w:hAnsi="Calibri"/>
                <w:b/>
                <w:szCs w:val="24"/>
              </w:rPr>
              <w:t xml:space="preserve">Inquiry </w:t>
            </w:r>
          </w:p>
        </w:tc>
        <w:tc>
          <w:tcPr>
            <w:tcW w:w="4383" w:type="pct"/>
            <w:gridSpan w:val="3"/>
          </w:tcPr>
          <w:p w14:paraId="70B2216B" w14:textId="77777777" w:rsidR="003B5C40" w:rsidRPr="004B06FD" w:rsidRDefault="003B5C40" w:rsidP="00674A7F">
            <w:pPr>
              <w:spacing w:before="0" w:after="0" w:line="309" w:lineRule="atLeast"/>
              <w:rPr>
                <w:rFonts w:ascii="Calibri" w:hAnsi="Calibri"/>
                <w:szCs w:val="24"/>
                <w:highlight w:val="yellow"/>
              </w:rPr>
            </w:pPr>
            <w:r w:rsidRPr="00F40200">
              <w:rPr>
                <w:rFonts w:ascii="Calibri" w:hAnsi="Calibri"/>
                <w:szCs w:val="24"/>
              </w:rPr>
              <w:t>Use Social Studies i</w:t>
            </w:r>
            <w:r>
              <w:rPr>
                <w:rFonts w:ascii="Calibri" w:hAnsi="Calibri"/>
                <w:szCs w:val="24"/>
              </w:rPr>
              <w:t xml:space="preserve">nquiry processes and skills to – </w:t>
            </w:r>
            <w:r w:rsidRPr="00F40200">
              <w:rPr>
                <w:rFonts w:ascii="Calibri" w:hAnsi="Calibri"/>
                <w:szCs w:val="24"/>
              </w:rPr>
              <w:t>ask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F40200">
              <w:rPr>
                <w:rFonts w:ascii="Calibri" w:hAnsi="Calibri"/>
                <w:szCs w:val="24"/>
              </w:rPr>
              <w:t>questions; gather, interpret, and analyze ideas; and communicate findings and decisions.</w:t>
            </w:r>
          </w:p>
        </w:tc>
      </w:tr>
      <w:tr w:rsidR="00651A1C" w:rsidRPr="00C417F4" w14:paraId="1994FDCC" w14:textId="77777777" w:rsidTr="00CE6E9C">
        <w:trPr>
          <w:trHeight w:val="1250"/>
        </w:trPr>
        <w:tc>
          <w:tcPr>
            <w:tcW w:w="617" w:type="pct"/>
          </w:tcPr>
          <w:p w14:paraId="6059022A" w14:textId="77777777" w:rsidR="00651A1C" w:rsidRPr="00BD2CCA" w:rsidRDefault="00651A1C" w:rsidP="00674A7F">
            <w:pPr>
              <w:spacing w:after="0"/>
              <w:rPr>
                <w:rFonts w:ascii="Calibri" w:hAnsi="Calibri"/>
                <w:b/>
                <w:szCs w:val="24"/>
              </w:rPr>
            </w:pPr>
            <w:r w:rsidRPr="004E173B">
              <w:rPr>
                <w:rFonts w:ascii="Calibri" w:hAnsi="Calibri"/>
                <w:b/>
                <w:szCs w:val="24"/>
              </w:rPr>
              <w:t>Significance</w:t>
            </w:r>
          </w:p>
        </w:tc>
        <w:tc>
          <w:tcPr>
            <w:tcW w:w="2586" w:type="pct"/>
            <w:gridSpan w:val="2"/>
          </w:tcPr>
          <w:p w14:paraId="51B4E697" w14:textId="77777777" w:rsidR="00651A1C" w:rsidRDefault="00651A1C" w:rsidP="00674A7F">
            <w:pPr>
              <w:pStyle w:val="NoSpacing"/>
              <w:rPr>
                <w:rStyle w:val="Strong"/>
                <w:rFonts w:ascii="Calibri" w:hAnsi="Calibri" w:cs="Helvetica"/>
                <w:b w:val="0"/>
                <w:color w:val="3B3B3B"/>
                <w:szCs w:val="24"/>
              </w:rPr>
            </w:pPr>
            <w:r>
              <w:rPr>
                <w:rStyle w:val="Strong"/>
                <w:rFonts w:ascii="Calibri" w:hAnsi="Calibri" w:cs="Helvetica"/>
                <w:b w:val="0"/>
                <w:color w:val="3B3B3B"/>
                <w:szCs w:val="24"/>
              </w:rPr>
              <w:t>Assess the significance of people, places, events, or developments at particular times and places.</w:t>
            </w:r>
          </w:p>
          <w:p w14:paraId="23FF06D3" w14:textId="77777777" w:rsidR="00651A1C" w:rsidRDefault="00651A1C" w:rsidP="00674A7F">
            <w:pPr>
              <w:pStyle w:val="NoSpacing"/>
              <w:rPr>
                <w:rStyle w:val="Strong"/>
                <w:rFonts w:ascii="Calibri" w:hAnsi="Calibri" w:cs="Helvetica"/>
                <w:b w:val="0"/>
                <w:color w:val="3B3B3B"/>
                <w:szCs w:val="24"/>
              </w:rPr>
            </w:pPr>
          </w:p>
          <w:p w14:paraId="09B58993" w14:textId="77777777" w:rsidR="00651A1C" w:rsidRPr="009C4B19" w:rsidRDefault="00651A1C" w:rsidP="00674A7F">
            <w:pPr>
              <w:pStyle w:val="NoSpacing"/>
              <w:rPr>
                <w:rFonts w:ascii="Calibri" w:hAnsi="Calibri"/>
              </w:rPr>
            </w:pPr>
            <w:r>
              <w:rPr>
                <w:rStyle w:val="Strong"/>
                <w:rFonts w:ascii="Calibri" w:hAnsi="Calibri" w:cs="Helvetica"/>
                <w:b w:val="0"/>
                <w:color w:val="3B3B3B"/>
                <w:szCs w:val="24"/>
              </w:rPr>
              <w:t>Identify what the creators of accounts, narratives, maps, or texts have determined is significant.</w:t>
            </w:r>
          </w:p>
        </w:tc>
        <w:tc>
          <w:tcPr>
            <w:tcW w:w="1797" w:type="pct"/>
          </w:tcPr>
          <w:p w14:paraId="146B735E" w14:textId="77777777" w:rsidR="00651A1C" w:rsidRDefault="00651A1C" w:rsidP="00674A7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 the significance of people, places, events, or developments, and compare varying perspectives on their historical significance at particular times and places, and from group to group.</w:t>
            </w:r>
          </w:p>
          <w:p w14:paraId="7935A201" w14:textId="77777777" w:rsidR="00651A1C" w:rsidRPr="00F40200" w:rsidRDefault="00651A1C" w:rsidP="00674A7F">
            <w:pPr>
              <w:pStyle w:val="NoSpacing"/>
              <w:rPr>
                <w:rFonts w:ascii="Calibri" w:hAnsi="Calibri"/>
              </w:rPr>
            </w:pPr>
          </w:p>
        </w:tc>
      </w:tr>
      <w:tr w:rsidR="00651A1C" w:rsidRPr="00C417F4" w14:paraId="59F7A694" w14:textId="77777777" w:rsidTr="00CE6E9C">
        <w:trPr>
          <w:trHeight w:val="890"/>
        </w:trPr>
        <w:tc>
          <w:tcPr>
            <w:tcW w:w="617" w:type="pct"/>
          </w:tcPr>
          <w:p w14:paraId="03D93149" w14:textId="77777777" w:rsidR="00651A1C" w:rsidRPr="00BD2CCA" w:rsidRDefault="00651A1C" w:rsidP="00674A7F">
            <w:pPr>
              <w:rPr>
                <w:rFonts w:ascii="Calibri" w:hAnsi="Calibri"/>
                <w:b/>
                <w:szCs w:val="24"/>
              </w:rPr>
            </w:pPr>
            <w:r w:rsidRPr="00BD2CCA">
              <w:rPr>
                <w:rFonts w:ascii="Calibri" w:hAnsi="Calibri"/>
                <w:b/>
                <w:szCs w:val="24"/>
              </w:rPr>
              <w:t>Evidence</w:t>
            </w:r>
          </w:p>
          <w:p w14:paraId="3E447D82" w14:textId="77777777" w:rsidR="00651A1C" w:rsidRPr="00BD2CCA" w:rsidRDefault="00651A1C" w:rsidP="00674A7F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586" w:type="pct"/>
            <w:gridSpan w:val="2"/>
          </w:tcPr>
          <w:p w14:paraId="648FC2B6" w14:textId="77777777" w:rsidR="00651A1C" w:rsidRPr="009C4B19" w:rsidRDefault="00651A1C" w:rsidP="00651A1C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 the credibility of multiple sources and the adequacy of evidence used to justify conclusions.</w:t>
            </w:r>
          </w:p>
        </w:tc>
        <w:tc>
          <w:tcPr>
            <w:tcW w:w="1797" w:type="pct"/>
          </w:tcPr>
          <w:p w14:paraId="7A2D9BD4" w14:textId="77777777" w:rsidR="00651A1C" w:rsidRPr="009C4B19" w:rsidRDefault="00651A1C" w:rsidP="00674A7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 the justification for competing historical accounts after investigating points of contention, reliability of sources, and adequacy of evidence.</w:t>
            </w:r>
          </w:p>
          <w:p w14:paraId="42BFFA71" w14:textId="77777777" w:rsidR="00651A1C" w:rsidRPr="009C4B19" w:rsidRDefault="00651A1C" w:rsidP="00674A7F">
            <w:pPr>
              <w:pStyle w:val="NoSpacing"/>
              <w:rPr>
                <w:rFonts w:ascii="Calibri" w:hAnsi="Calibri"/>
              </w:rPr>
            </w:pPr>
          </w:p>
        </w:tc>
      </w:tr>
      <w:tr w:rsidR="00651A1C" w:rsidRPr="00C417F4" w14:paraId="4BF380C2" w14:textId="77777777" w:rsidTr="00CE6E9C">
        <w:tc>
          <w:tcPr>
            <w:tcW w:w="617" w:type="pct"/>
          </w:tcPr>
          <w:p w14:paraId="0CBE5A54" w14:textId="77777777" w:rsidR="00651A1C" w:rsidRPr="00BD2CCA" w:rsidRDefault="00651A1C" w:rsidP="00674A7F">
            <w:pPr>
              <w:rPr>
                <w:rFonts w:ascii="Calibri" w:hAnsi="Calibri"/>
                <w:b/>
                <w:szCs w:val="24"/>
              </w:rPr>
            </w:pPr>
            <w:r w:rsidRPr="00BD2CCA">
              <w:rPr>
                <w:rFonts w:ascii="Calibri" w:hAnsi="Calibri"/>
                <w:b/>
                <w:szCs w:val="24"/>
              </w:rPr>
              <w:t xml:space="preserve">Continuity and change </w:t>
            </w:r>
          </w:p>
          <w:p w14:paraId="7D9C04D4" w14:textId="77777777" w:rsidR="00651A1C" w:rsidRPr="00C417F4" w:rsidRDefault="00651A1C" w:rsidP="00674A7F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86" w:type="pct"/>
            <w:gridSpan w:val="2"/>
          </w:tcPr>
          <w:p w14:paraId="657241AF" w14:textId="77777777" w:rsidR="00651A1C" w:rsidRDefault="00651A1C" w:rsidP="003B5C4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Characterize different time periods in history, including periods of progress and decline, and identify key turning points that mark periods of change.</w:t>
            </w:r>
          </w:p>
          <w:p w14:paraId="6B4EBC66" w14:textId="77777777" w:rsidR="00651A1C" w:rsidRPr="009C4B19" w:rsidRDefault="00651A1C" w:rsidP="00674A7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797" w:type="pct"/>
          </w:tcPr>
          <w:p w14:paraId="469E8F7D" w14:textId="77777777" w:rsidR="00651A1C" w:rsidRPr="00F40200" w:rsidRDefault="00651A1C" w:rsidP="00674A7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Compare and contrast continuities and changes for different groups at the same time period.</w:t>
            </w:r>
          </w:p>
        </w:tc>
      </w:tr>
      <w:tr w:rsidR="00651A1C" w:rsidRPr="00C417F4" w14:paraId="2A74470D" w14:textId="77777777" w:rsidTr="00CE6E9C">
        <w:tc>
          <w:tcPr>
            <w:tcW w:w="617" w:type="pct"/>
          </w:tcPr>
          <w:p w14:paraId="579F5DDA" w14:textId="77777777" w:rsidR="00651A1C" w:rsidRPr="00BD2CCA" w:rsidRDefault="00651A1C" w:rsidP="00674A7F">
            <w:pPr>
              <w:rPr>
                <w:rFonts w:ascii="Calibri" w:hAnsi="Calibri" w:cs="Helvetica"/>
                <w:b/>
                <w:color w:val="3B3B3B"/>
                <w:szCs w:val="24"/>
              </w:rPr>
            </w:pPr>
            <w:r w:rsidRPr="00BD2CCA">
              <w:rPr>
                <w:rFonts w:ascii="Calibri" w:hAnsi="Calibri" w:cs="Helvetica"/>
                <w:b/>
                <w:color w:val="3B3B3B"/>
                <w:szCs w:val="24"/>
              </w:rPr>
              <w:t>Cause and consequence</w:t>
            </w:r>
          </w:p>
          <w:p w14:paraId="17E06A0F" w14:textId="77777777" w:rsidR="00651A1C" w:rsidRPr="00BD2CCA" w:rsidRDefault="00651A1C" w:rsidP="00674A7F">
            <w:pPr>
              <w:rPr>
                <w:rFonts w:ascii="Calibri" w:hAnsi="Calibri" w:cs="Helvetica"/>
                <w:b/>
                <w:color w:val="3B3B3B"/>
                <w:szCs w:val="24"/>
                <w:lang w:val="en-CA"/>
              </w:rPr>
            </w:pPr>
          </w:p>
        </w:tc>
        <w:tc>
          <w:tcPr>
            <w:tcW w:w="2586" w:type="pct"/>
            <w:gridSpan w:val="2"/>
          </w:tcPr>
          <w:p w14:paraId="17519094" w14:textId="77777777" w:rsidR="00651A1C" w:rsidRDefault="00651A1C" w:rsidP="00674A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Determine which causes most influenced particular decisions, actions, or events, and assess their short- and long-term consequences.</w:t>
            </w:r>
          </w:p>
          <w:p w14:paraId="2F242A0D" w14:textId="77777777" w:rsidR="00651A1C" w:rsidRPr="009C4B19" w:rsidRDefault="00651A1C" w:rsidP="00674A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97" w:type="pct"/>
          </w:tcPr>
          <w:p w14:paraId="196DF59D" w14:textId="77777777" w:rsidR="00651A1C" w:rsidRPr="009C4B19" w:rsidRDefault="00651A1C" w:rsidP="00674A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 how prevailing conditions and the actions of individuals or groups affect events, decisions, or developments.</w:t>
            </w:r>
          </w:p>
        </w:tc>
      </w:tr>
      <w:tr w:rsidR="00CE6E9C" w:rsidRPr="00C417F4" w14:paraId="17C48250" w14:textId="77777777" w:rsidTr="00CE6E9C">
        <w:tc>
          <w:tcPr>
            <w:tcW w:w="617" w:type="pct"/>
          </w:tcPr>
          <w:p w14:paraId="49D68E58" w14:textId="77777777" w:rsidR="00CE6E9C" w:rsidRPr="009C4B19" w:rsidRDefault="00CE6E9C" w:rsidP="00674A7F">
            <w:pPr>
              <w:rPr>
                <w:rFonts w:ascii="Calibri" w:hAnsi="Calibri" w:cs="Helvetica"/>
                <w:b/>
                <w:color w:val="3B3B3B"/>
                <w:szCs w:val="24"/>
              </w:rPr>
            </w:pPr>
            <w:r w:rsidRPr="009C4B19">
              <w:rPr>
                <w:rFonts w:ascii="Calibri" w:hAnsi="Calibri" w:cs="Helvetica"/>
                <w:b/>
                <w:color w:val="3B3B3B"/>
                <w:szCs w:val="24"/>
              </w:rPr>
              <w:t>Perspective</w:t>
            </w:r>
            <w:r w:rsidRPr="009C4B19">
              <w:rPr>
                <w:rFonts w:ascii="Calibri" w:hAnsi="Calibri"/>
                <w:szCs w:val="24"/>
              </w:rPr>
              <w:t> </w:t>
            </w:r>
            <w:r w:rsidRPr="009C4B19">
              <w:rPr>
                <w:rFonts w:ascii="Calibri" w:hAnsi="Calibri" w:cs="Helvetica"/>
                <w:b/>
                <w:color w:val="3B3B3B"/>
                <w:szCs w:val="24"/>
              </w:rPr>
              <w:t xml:space="preserve"> </w:t>
            </w:r>
          </w:p>
          <w:p w14:paraId="471FB0E4" w14:textId="77777777" w:rsidR="00CE6E9C" w:rsidRPr="009C4B19" w:rsidRDefault="00CE6E9C" w:rsidP="00674A7F">
            <w:pPr>
              <w:rPr>
                <w:rFonts w:ascii="Calibri" w:hAnsi="Calibri" w:cs="Helvetica"/>
                <w:b/>
                <w:color w:val="3B3B3B"/>
                <w:szCs w:val="24"/>
              </w:rPr>
            </w:pPr>
          </w:p>
        </w:tc>
        <w:tc>
          <w:tcPr>
            <w:tcW w:w="2586" w:type="pct"/>
            <w:gridSpan w:val="2"/>
          </w:tcPr>
          <w:p w14:paraId="25D1FC63" w14:textId="77777777" w:rsidR="00CE6E9C" w:rsidRDefault="00CE6E9C" w:rsidP="00674A7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Explain different perspectives on past or present people, places, issues, or events, and compare the values, worldviews, and beliefs of human cultures and societies in different times and places.</w:t>
            </w:r>
          </w:p>
          <w:p w14:paraId="03CC287A" w14:textId="77777777" w:rsidR="00CE6E9C" w:rsidRPr="00665F18" w:rsidRDefault="00CE6E9C" w:rsidP="00674A7F">
            <w:pPr>
              <w:pStyle w:val="NoSpacing"/>
              <w:rPr>
                <w:rFonts w:ascii="Calibri" w:hAnsi="Calibri"/>
                <w:szCs w:val="24"/>
              </w:rPr>
            </w:pPr>
          </w:p>
        </w:tc>
        <w:tc>
          <w:tcPr>
            <w:tcW w:w="1797" w:type="pct"/>
          </w:tcPr>
          <w:p w14:paraId="4A3980E0" w14:textId="77777777" w:rsidR="00CE6E9C" w:rsidRDefault="00CE6E9C" w:rsidP="00674A7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and infer different perspectives on past or present people, places, issues, or events by considering prevailing norms, values, worldviews, and beliefs.</w:t>
            </w:r>
          </w:p>
          <w:p w14:paraId="1B11DFD4" w14:textId="77777777" w:rsidR="00CE6E9C" w:rsidRPr="00665F18" w:rsidRDefault="00CE6E9C" w:rsidP="00674A7F">
            <w:pPr>
              <w:pStyle w:val="NoSpacing"/>
              <w:rPr>
                <w:rFonts w:ascii="Calibri" w:hAnsi="Calibri"/>
                <w:szCs w:val="24"/>
                <w:lang w:val="en-CA"/>
              </w:rPr>
            </w:pPr>
          </w:p>
        </w:tc>
      </w:tr>
      <w:tr w:rsidR="00CE6E9C" w:rsidRPr="00C417F4" w14:paraId="70E8D828" w14:textId="77777777" w:rsidTr="00CE6E9C">
        <w:trPr>
          <w:trHeight w:val="1511"/>
        </w:trPr>
        <w:tc>
          <w:tcPr>
            <w:tcW w:w="617" w:type="pct"/>
          </w:tcPr>
          <w:p w14:paraId="68C7F6AD" w14:textId="77777777" w:rsidR="00CE6E9C" w:rsidRPr="009C4B19" w:rsidRDefault="00CE6E9C" w:rsidP="00674A7F">
            <w:pPr>
              <w:spacing w:after="0"/>
              <w:rPr>
                <w:rFonts w:ascii="Calibri" w:hAnsi="Calibri" w:cs="Helvetica"/>
                <w:b/>
                <w:color w:val="3B3B3B"/>
                <w:szCs w:val="24"/>
              </w:rPr>
            </w:pPr>
            <w:r w:rsidRPr="009C4B19">
              <w:rPr>
                <w:rFonts w:ascii="Calibri" w:hAnsi="Calibri" w:cs="Helvetica"/>
                <w:b/>
                <w:color w:val="3B3B3B"/>
                <w:szCs w:val="24"/>
              </w:rPr>
              <w:t>Ethical judgments</w:t>
            </w:r>
          </w:p>
          <w:p w14:paraId="5A4F2CDA" w14:textId="77777777" w:rsidR="00CE6E9C" w:rsidRPr="009C4B19" w:rsidRDefault="00CE6E9C" w:rsidP="00674A7F">
            <w:pPr>
              <w:spacing w:after="0"/>
              <w:rPr>
                <w:rFonts w:ascii="Calibri" w:hAnsi="Calibri"/>
                <w:szCs w:val="24"/>
              </w:rPr>
            </w:pPr>
          </w:p>
        </w:tc>
        <w:tc>
          <w:tcPr>
            <w:tcW w:w="2586" w:type="pct"/>
            <w:gridSpan w:val="2"/>
          </w:tcPr>
          <w:p w14:paraId="2A789784" w14:textId="77777777" w:rsidR="00CE6E9C" w:rsidRPr="009C4B19" w:rsidRDefault="00CE6E9C" w:rsidP="00674A7F">
            <w:pPr>
              <w:pStyle w:val="NoSpacing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Make ethical judgments about past events, decisions, or actions, and assess the limitations of drawing direct lessons from the past.</w:t>
            </w:r>
          </w:p>
        </w:tc>
        <w:tc>
          <w:tcPr>
            <w:tcW w:w="1797" w:type="pct"/>
          </w:tcPr>
          <w:p w14:paraId="6F596124" w14:textId="77777777" w:rsidR="00CE6E9C" w:rsidRDefault="00CE6E9C" w:rsidP="00674A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Recognize implicit and explicit ethical judgments in a variety of sources.</w:t>
            </w:r>
          </w:p>
          <w:p w14:paraId="52F09923" w14:textId="77777777" w:rsidR="00CE6E9C" w:rsidRDefault="00CE6E9C" w:rsidP="00674A7F">
            <w:pPr>
              <w:pStyle w:val="NoSpacing"/>
              <w:rPr>
                <w:rFonts w:asciiTheme="minorHAnsi" w:hAnsiTheme="minorHAnsi"/>
              </w:rPr>
            </w:pPr>
          </w:p>
          <w:p w14:paraId="732FC5AE" w14:textId="77777777" w:rsidR="00CE6E9C" w:rsidRDefault="00CE6E9C" w:rsidP="00674A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reasoned ethical judgments about actions in the past and present, and determine appropriate ways to remember and respond.</w:t>
            </w:r>
          </w:p>
          <w:p w14:paraId="0ABF889E" w14:textId="77777777" w:rsidR="00CE6E9C" w:rsidRPr="00F40200" w:rsidRDefault="00CE6E9C" w:rsidP="00674A7F">
            <w:pPr>
              <w:pStyle w:val="NoSpacing"/>
              <w:rPr>
                <w:rFonts w:ascii="Calibri" w:hAnsi="Calibri"/>
                <w:szCs w:val="24"/>
              </w:rPr>
            </w:pPr>
          </w:p>
        </w:tc>
      </w:tr>
    </w:tbl>
    <w:p w14:paraId="2FB970AA" w14:textId="77777777" w:rsidR="003B5C40" w:rsidRDefault="003B5C40">
      <w:pPr>
        <w:rPr>
          <w:rFonts w:ascii="Calibri" w:hAnsi="Calibri"/>
          <w:sz w:val="22"/>
        </w:rPr>
      </w:pPr>
    </w:p>
    <w:sectPr w:rsidR="003B5C40" w:rsidSect="00F5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51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5522" w14:textId="77777777" w:rsidR="004E11A6" w:rsidRDefault="004E11A6" w:rsidP="0053604F">
      <w:pPr>
        <w:spacing w:before="0" w:after="0"/>
      </w:pPr>
      <w:r>
        <w:separator/>
      </w:r>
    </w:p>
  </w:endnote>
  <w:endnote w:type="continuationSeparator" w:id="0">
    <w:p w14:paraId="4861204F" w14:textId="77777777" w:rsidR="004E11A6" w:rsidRDefault="004E11A6" w:rsidP="005360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1DF4" w14:textId="77777777" w:rsidR="005866D8" w:rsidRDefault="00586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4812" w14:textId="77777777" w:rsidR="0053604F" w:rsidRDefault="005866D8">
    <w:pPr>
      <w:pStyle w:val="Footer"/>
    </w:pPr>
    <w:r>
      <w:t>Create</w:t>
    </w:r>
    <w:r w:rsidR="0053604F">
      <w:t xml:space="preserve">d by ILT </w:t>
    </w:r>
    <w:r>
      <w:t>and updated April 2017</w:t>
    </w:r>
  </w:p>
  <w:p w14:paraId="07A3E11D" w14:textId="77777777" w:rsidR="0053604F" w:rsidRDefault="0053604F">
    <w:pPr>
      <w:pStyle w:val="Footer"/>
    </w:pPr>
  </w:p>
  <w:p w14:paraId="34FFD1B4" w14:textId="77777777" w:rsidR="0053604F" w:rsidRDefault="00536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35F4" w14:textId="77777777" w:rsidR="005866D8" w:rsidRDefault="00586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95C67" w14:textId="77777777" w:rsidR="004E11A6" w:rsidRDefault="004E11A6" w:rsidP="0053604F">
      <w:pPr>
        <w:spacing w:before="0" w:after="0"/>
      </w:pPr>
      <w:r>
        <w:separator/>
      </w:r>
    </w:p>
  </w:footnote>
  <w:footnote w:type="continuationSeparator" w:id="0">
    <w:p w14:paraId="55863884" w14:textId="77777777" w:rsidR="004E11A6" w:rsidRDefault="004E11A6" w:rsidP="005360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CBA8" w14:textId="77777777" w:rsidR="005866D8" w:rsidRDefault="0058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CDB30" w14:textId="77777777" w:rsidR="005866D8" w:rsidRDefault="00586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928C" w14:textId="77777777" w:rsidR="005866D8" w:rsidRDefault="0058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FA9"/>
    <w:multiLevelType w:val="multilevel"/>
    <w:tmpl w:val="AC1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E0A73"/>
    <w:multiLevelType w:val="multilevel"/>
    <w:tmpl w:val="38E8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A48B0"/>
    <w:multiLevelType w:val="multilevel"/>
    <w:tmpl w:val="A976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7A"/>
    <w:rsid w:val="00061379"/>
    <w:rsid w:val="00103E5D"/>
    <w:rsid w:val="001423F8"/>
    <w:rsid w:val="00231F9A"/>
    <w:rsid w:val="0023489F"/>
    <w:rsid w:val="002F7F69"/>
    <w:rsid w:val="00322165"/>
    <w:rsid w:val="003B5C40"/>
    <w:rsid w:val="003E1006"/>
    <w:rsid w:val="003E1593"/>
    <w:rsid w:val="0048651F"/>
    <w:rsid w:val="004B06FD"/>
    <w:rsid w:val="004E11A6"/>
    <w:rsid w:val="004E173B"/>
    <w:rsid w:val="0053604F"/>
    <w:rsid w:val="005828C1"/>
    <w:rsid w:val="005866D8"/>
    <w:rsid w:val="006447B9"/>
    <w:rsid w:val="00651A1C"/>
    <w:rsid w:val="00665F18"/>
    <w:rsid w:val="006862FF"/>
    <w:rsid w:val="006D586D"/>
    <w:rsid w:val="006F3EA3"/>
    <w:rsid w:val="0076507A"/>
    <w:rsid w:val="007B0F01"/>
    <w:rsid w:val="007E4DC3"/>
    <w:rsid w:val="00843A6A"/>
    <w:rsid w:val="00861BC3"/>
    <w:rsid w:val="00933586"/>
    <w:rsid w:val="00971400"/>
    <w:rsid w:val="0099099D"/>
    <w:rsid w:val="009C4B19"/>
    <w:rsid w:val="009F1531"/>
    <w:rsid w:val="009F4425"/>
    <w:rsid w:val="009F60D4"/>
    <w:rsid w:val="00A372EC"/>
    <w:rsid w:val="00BC0132"/>
    <w:rsid w:val="00BD2CCA"/>
    <w:rsid w:val="00BE031D"/>
    <w:rsid w:val="00C177D0"/>
    <w:rsid w:val="00C3585C"/>
    <w:rsid w:val="00C417F4"/>
    <w:rsid w:val="00C72B39"/>
    <w:rsid w:val="00C75793"/>
    <w:rsid w:val="00CB357A"/>
    <w:rsid w:val="00CE6E9C"/>
    <w:rsid w:val="00D6662D"/>
    <w:rsid w:val="00D9493C"/>
    <w:rsid w:val="00DB0FAB"/>
    <w:rsid w:val="00DC3A37"/>
    <w:rsid w:val="00E31B66"/>
    <w:rsid w:val="00E37F58"/>
    <w:rsid w:val="00E8448A"/>
    <w:rsid w:val="00EF7371"/>
    <w:rsid w:val="00F11A30"/>
    <w:rsid w:val="00F40200"/>
    <w:rsid w:val="00F41BB5"/>
    <w:rsid w:val="00F50DA7"/>
    <w:rsid w:val="00F63BC7"/>
    <w:rsid w:val="00FA70D2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B7BA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93C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5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604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604F"/>
  </w:style>
  <w:style w:type="paragraph" w:styleId="Footer">
    <w:name w:val="footer"/>
    <w:basedOn w:val="Normal"/>
    <w:link w:val="FooterChar"/>
    <w:uiPriority w:val="99"/>
    <w:unhideWhenUsed/>
    <w:rsid w:val="0053604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E5DA-6BE2-0D43-A5E0-93795EEE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4</cp:revision>
  <cp:lastPrinted>2016-10-05T17:32:00Z</cp:lastPrinted>
  <dcterms:created xsi:type="dcterms:W3CDTF">2017-04-20T22:30:00Z</dcterms:created>
  <dcterms:modified xsi:type="dcterms:W3CDTF">2019-01-05T07:45:00Z</dcterms:modified>
</cp:coreProperties>
</file>